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49" w:rsidRPr="00797705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spacing w:after="200"/>
        <w:jc w:val="both"/>
        <w:rPr>
          <w:rFonts w:ascii="Times New Roman" w:hAnsi="Times New Roman" w:cs="Times New Roman"/>
          <w:color w:val="auto"/>
        </w:rPr>
      </w:pPr>
      <w:bookmarkStart w:id="0" w:name="bookmark3"/>
      <w:r w:rsidRPr="00797705">
        <w:rPr>
          <w:rFonts w:ascii="Times New Roman" w:hAnsi="Times New Roman" w:cs="Times New Roman"/>
          <w:b/>
          <w:color w:val="auto"/>
        </w:rPr>
        <w:t>Проект НИР I.4.1.</w:t>
      </w:r>
      <w:r w:rsidRPr="00797705">
        <w:rPr>
          <w:rFonts w:ascii="Times New Roman" w:hAnsi="Times New Roman" w:cs="Times New Roman"/>
          <w:color w:val="auto"/>
        </w:rPr>
        <w:t xml:space="preserve"> "Математическое моделирование с использованием параллельных и распределенных вычислений".</w:t>
      </w:r>
    </w:p>
    <w:p w:rsidR="00D16249" w:rsidRPr="00797705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jc w:val="both"/>
        <w:rPr>
          <w:rFonts w:ascii="Times New Roman" w:hAnsi="Times New Roman" w:cs="Times New Roman"/>
          <w:color w:val="auto"/>
        </w:rPr>
      </w:pPr>
      <w:bookmarkStart w:id="1" w:name="_GoBack"/>
      <w:r w:rsidRPr="00797705">
        <w:rPr>
          <w:rFonts w:ascii="Times New Roman" w:hAnsi="Times New Roman" w:cs="Times New Roman"/>
          <w:b/>
          <w:color w:val="auto"/>
        </w:rPr>
        <w:t>I.4.1.3.</w:t>
      </w:r>
      <w:bookmarkEnd w:id="1"/>
      <w:r>
        <w:rPr>
          <w:rFonts w:ascii="Times New Roman" w:hAnsi="Times New Roman" w:cs="Times New Roman"/>
          <w:b/>
          <w:color w:val="auto"/>
        </w:rPr>
        <w:t xml:space="preserve"> </w:t>
      </w:r>
      <w:r w:rsidRPr="00797705">
        <w:rPr>
          <w:rFonts w:ascii="Times New Roman" w:hAnsi="Times New Roman" w:cs="Times New Roman"/>
          <w:color w:val="auto"/>
        </w:rPr>
        <w:t xml:space="preserve"> "Развитие суперкомпьютерных технологий и методов моделирования архитектур и алгоритмов для пета-и </w:t>
      </w:r>
      <w:proofErr w:type="spellStart"/>
      <w:r w:rsidRPr="00797705">
        <w:rPr>
          <w:rFonts w:ascii="Times New Roman" w:hAnsi="Times New Roman" w:cs="Times New Roman"/>
          <w:color w:val="auto"/>
        </w:rPr>
        <w:t>эксафлопсных</w:t>
      </w:r>
      <w:proofErr w:type="spellEnd"/>
      <w:r w:rsidRPr="0079770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97705">
        <w:rPr>
          <w:rFonts w:ascii="Times New Roman" w:hAnsi="Times New Roman" w:cs="Times New Roman"/>
          <w:color w:val="auto"/>
        </w:rPr>
        <w:t>супер-ЭВМ</w:t>
      </w:r>
      <w:proofErr w:type="spellEnd"/>
      <w:r w:rsidRPr="00797705">
        <w:rPr>
          <w:rFonts w:ascii="Times New Roman" w:hAnsi="Times New Roman" w:cs="Times New Roman"/>
          <w:color w:val="auto"/>
        </w:rPr>
        <w:t>".</w:t>
      </w:r>
    </w:p>
    <w:p w:rsidR="00D16249" w:rsidRPr="00797705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797705">
        <w:rPr>
          <w:rFonts w:ascii="Times New Roman" w:hAnsi="Times New Roman" w:cs="Times New Roman"/>
          <w:color w:val="auto"/>
        </w:rPr>
        <w:t>Номер государственной регистрации НИР 01201370232.</w:t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spacing w:after="200"/>
        <w:ind w:firstLine="567"/>
        <w:jc w:val="both"/>
        <w:rPr>
          <w:rFonts w:ascii="Times New Roman" w:hAnsi="Times New Roman" w:cs="Times New Roman"/>
          <w:color w:val="auto"/>
        </w:rPr>
      </w:pPr>
      <w:r w:rsidRPr="00797705">
        <w:rPr>
          <w:rFonts w:ascii="Times New Roman" w:hAnsi="Times New Roman" w:cs="Times New Roman"/>
          <w:color w:val="auto"/>
        </w:rPr>
        <w:t>Руководитель – д.т.н. Глинский Б. М.</w:t>
      </w:r>
    </w:p>
    <w:p w:rsidR="00D16249" w:rsidRPr="00132AEB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D57F43">
        <w:rPr>
          <w:rFonts w:ascii="Times New Roman" w:hAnsi="Times New Roman" w:cs="Times New Roman"/>
          <w:color w:val="auto"/>
        </w:rPr>
        <w:t>С</w:t>
      </w:r>
      <w:r w:rsidRPr="00132AEB">
        <w:rPr>
          <w:rFonts w:ascii="Times New Roman" w:hAnsi="Times New Roman" w:cs="Times New Roman"/>
          <w:color w:val="auto"/>
        </w:rPr>
        <w:t xml:space="preserve">оздана </w:t>
      </w:r>
      <w:proofErr w:type="spellStart"/>
      <w:r w:rsidRPr="00132AEB">
        <w:rPr>
          <w:rFonts w:ascii="Times New Roman" w:hAnsi="Times New Roman" w:cs="Times New Roman"/>
          <w:color w:val="auto"/>
        </w:rPr>
        <w:t>мультиагентная</w:t>
      </w:r>
      <w:proofErr w:type="spellEnd"/>
      <w:r w:rsidRPr="00132AEB">
        <w:rPr>
          <w:rFonts w:ascii="Times New Roman" w:hAnsi="Times New Roman" w:cs="Times New Roman"/>
          <w:color w:val="auto"/>
        </w:rPr>
        <w:t xml:space="preserve"> модель функционирования системы управления потоком параллельных задач, поступающих на разнородные вычислительные ресурсы ЦКП. Данная модель позволяет оценить эффективность алгоритмов планирования очереди заданий, обеспечения отказоустойчивости и обеспечения экономии электроэнергии ЦКП. Для этой модели проведена апробация нескольких популярных и перспективных алгоритмов планирования, исследование эффективности которых позволит, в дальнейшем, создать набор оптимальных алгоритмов для управления ЦКП ССКЦ СО РАН. Апробация алгоритмов производилась на основе статистики работы</w:t>
      </w:r>
      <w:r w:rsidRPr="00D113C5">
        <w:rPr>
          <w:rFonts w:ascii="Times New Roman" w:hAnsi="Times New Roman" w:cs="Times New Roman"/>
          <w:color w:val="auto"/>
        </w:rPr>
        <w:t xml:space="preserve"> </w:t>
      </w:r>
      <w:r w:rsidRPr="00132AEB">
        <w:rPr>
          <w:rFonts w:ascii="Times New Roman" w:hAnsi="Times New Roman" w:cs="Times New Roman"/>
          <w:color w:val="auto"/>
        </w:rPr>
        <w:t>ЦКП ССКЦ СО РАН</w:t>
      </w:r>
      <w:r w:rsidRPr="00D113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br/>
      </w:r>
      <w:r w:rsidRPr="00132AEB">
        <w:rPr>
          <w:rFonts w:ascii="Times New Roman" w:hAnsi="Times New Roman" w:cs="Times New Roman"/>
          <w:color w:val="auto"/>
        </w:rPr>
        <w:t>за 2011</w:t>
      </w:r>
      <w:r w:rsidRPr="00D57F43">
        <w:rPr>
          <w:rFonts w:ascii="Times New Roman" w:hAnsi="Times New Roman" w:cs="Times New Roman"/>
          <w:color w:val="auto"/>
        </w:rPr>
        <w:t>- 2013</w:t>
      </w:r>
      <w:r w:rsidRPr="00BB56A2">
        <w:rPr>
          <w:rFonts w:ascii="Times New Roman" w:hAnsi="Times New Roman" w:cs="Times New Roman"/>
          <w:color w:val="auto"/>
        </w:rPr>
        <w:t xml:space="preserve"> </w:t>
      </w:r>
      <w:r w:rsidRPr="00D57F43">
        <w:rPr>
          <w:rFonts w:ascii="Times New Roman" w:hAnsi="Times New Roman" w:cs="Times New Roman"/>
          <w:color w:val="auto"/>
        </w:rPr>
        <w:t>г</w:t>
      </w:r>
      <w:r w:rsidRPr="00132AEB">
        <w:rPr>
          <w:rFonts w:ascii="Times New Roman" w:hAnsi="Times New Roman" w:cs="Times New Roman"/>
          <w:color w:val="auto"/>
        </w:rPr>
        <w:t>г</w:t>
      </w:r>
      <w:r>
        <w:rPr>
          <w:rFonts w:ascii="Times New Roman" w:hAnsi="Times New Roman" w:cs="Times New Roman"/>
          <w:color w:val="auto"/>
        </w:rPr>
        <w:t>.</w:t>
      </w:r>
      <w:r w:rsidRPr="00D113C5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система</w:t>
      </w:r>
      <w:r w:rsidRPr="00132AEB">
        <w:rPr>
          <w:rFonts w:ascii="Times New Roman" w:hAnsi="Times New Roman" w:cs="Times New Roman"/>
          <w:color w:val="auto"/>
        </w:rPr>
        <w:t xml:space="preserve"> управления PBS </w:t>
      </w:r>
      <w:proofErr w:type="spellStart"/>
      <w:r w:rsidRPr="00132AEB">
        <w:rPr>
          <w:rFonts w:ascii="Times New Roman" w:hAnsi="Times New Roman" w:cs="Times New Roman"/>
          <w:color w:val="auto"/>
        </w:rPr>
        <w:t>Pro</w:t>
      </w:r>
      <w:proofErr w:type="spellEnd"/>
      <w:r w:rsidRPr="00132AEB">
        <w:rPr>
          <w:rFonts w:ascii="Times New Roman" w:hAnsi="Times New Roman" w:cs="Times New Roman"/>
          <w:color w:val="auto"/>
        </w:rPr>
        <w:t>.</w:t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</w:pPr>
      <w:r w:rsidRPr="00132AEB">
        <w:rPr>
          <w:rFonts w:ascii="Times New Roman" w:hAnsi="Times New Roman" w:cs="Times New Roman"/>
          <w:color w:val="auto"/>
        </w:rPr>
        <w:t xml:space="preserve">Реализован метод </w:t>
      </w:r>
      <w:proofErr w:type="spellStart"/>
      <w:r w:rsidRPr="00051471">
        <w:rPr>
          <w:rFonts w:ascii="Times New Roman" w:hAnsi="Times New Roman" w:cs="Times New Roman"/>
          <w:color w:val="auto"/>
        </w:rPr>
        <w:t>двухдиагонализации</w:t>
      </w:r>
      <w:proofErr w:type="spellEnd"/>
      <w:r w:rsidRPr="00132AEB">
        <w:rPr>
          <w:rFonts w:ascii="Times New Roman" w:hAnsi="Times New Roman" w:cs="Times New Roman"/>
          <w:color w:val="auto"/>
        </w:rPr>
        <w:t xml:space="preserve"> матриц для решения прямой задачи химической кинетики на примере биохимической модели </w:t>
      </w:r>
      <w:proofErr w:type="spellStart"/>
      <w:r w:rsidRPr="00132AEB">
        <w:rPr>
          <w:rFonts w:ascii="Times New Roman" w:hAnsi="Times New Roman" w:cs="Times New Roman"/>
          <w:color w:val="auto"/>
        </w:rPr>
        <w:t>Шефера</w:t>
      </w:r>
      <w:proofErr w:type="spellEnd"/>
      <w:r w:rsidRPr="00132AEB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132AEB">
        <w:rPr>
          <w:rFonts w:ascii="Times New Roman" w:hAnsi="Times New Roman" w:cs="Times New Roman"/>
          <w:color w:val="auto"/>
        </w:rPr>
        <w:t>Hires</w:t>
      </w:r>
      <w:proofErr w:type="spellEnd"/>
      <w:r w:rsidRPr="00132AEB">
        <w:rPr>
          <w:rFonts w:ascii="Times New Roman" w:hAnsi="Times New Roman" w:cs="Times New Roman"/>
          <w:color w:val="auto"/>
        </w:rPr>
        <w:t>) с использованием GPU. Реализация данного метод</w:t>
      </w:r>
      <w:r>
        <w:rPr>
          <w:rFonts w:ascii="Times New Roman" w:hAnsi="Times New Roman" w:cs="Times New Roman"/>
          <w:color w:val="auto"/>
        </w:rPr>
        <w:t>а</w:t>
      </w:r>
      <w:r w:rsidRPr="00132AEB">
        <w:rPr>
          <w:rFonts w:ascii="Times New Roman" w:hAnsi="Times New Roman" w:cs="Times New Roman"/>
          <w:color w:val="auto"/>
        </w:rPr>
        <w:t xml:space="preserve"> будет использована для имитационного моделирования с целью анализа масштабируемости при исполнении больших параллельных программ на </w:t>
      </w:r>
      <w:proofErr w:type="spellStart"/>
      <w:r w:rsidRPr="00132AEB">
        <w:rPr>
          <w:rFonts w:ascii="Times New Roman" w:hAnsi="Times New Roman" w:cs="Times New Roman"/>
          <w:color w:val="auto"/>
        </w:rPr>
        <w:t>суперЭВМ</w:t>
      </w:r>
      <w:proofErr w:type="spellEnd"/>
      <w:r w:rsidRPr="00132AEB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</w:rPr>
        <w:t xml:space="preserve"> </w:t>
      </w:r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Для решения системы ОДУ используется ФДН-метод. В рамках работ была создана и протестирована параллельная реализация ФДН метода решения систем обыкновенных дифференциальных уравнений (ОДУ).</w:t>
      </w:r>
      <w:r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 xml:space="preserve"> </w:t>
      </w:r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 xml:space="preserve">Для параллельной реализации на GPU все матричные операции метода </w:t>
      </w:r>
      <w:proofErr w:type="spellStart"/>
      <w:r w:rsidRPr="00051471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двухдиагонализации</w:t>
      </w:r>
      <w:proofErr w:type="spellEnd"/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, выполняемые на CPU</w:t>
      </w:r>
      <w:r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,</w:t>
      </w:r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 xml:space="preserve"> были заменены на матричные операции, выполняемы на GPU. Апробация решателя была проведена на задачах пиролиза пропа</w:t>
      </w:r>
      <w:r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на</w:t>
      </w:r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 xml:space="preserve">. Результаты тестов показали хорошее совпадение с результатами других решателей, включенных в </w:t>
      </w:r>
      <w:proofErr w:type="spellStart"/>
      <w:proofErr w:type="gramStart"/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>ChemPAK</w:t>
      </w:r>
      <w:proofErr w:type="spellEnd"/>
      <w:r w:rsidRPr="00D113C5">
        <w:rPr>
          <w:rFonts w:ascii="Times New Roman" w:eastAsia="Calibri" w:hAnsi="Times New Roman" w:cs="Times New Roman"/>
          <w:color w:val="auto"/>
          <w:spacing w:val="-2"/>
          <w:szCs w:val="28"/>
          <w:lang w:eastAsia="en-US"/>
        </w:rPr>
        <w:t xml:space="preserve"> .</w:t>
      </w:r>
      <w:proofErr w:type="gramEnd"/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D57F43">
        <w:rPr>
          <w:rFonts w:ascii="Times New Roman" w:hAnsi="Times New Roman" w:cs="Times New Roman"/>
          <w:color w:val="auto"/>
        </w:rPr>
        <w:t xml:space="preserve">Наращивались программные и аппаратурные компоненты основного кластера центра НКС-30Т+GPU: Закуплены новые версии программного обеспечения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Cluster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Studio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XE 2013 и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Parallel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Studio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XE 2013, которые включают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MPI 4.1,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TraceAnalyzer</w:t>
      </w:r>
      <w:proofErr w:type="spellEnd"/>
      <w:r w:rsidRPr="00D57F43">
        <w:rPr>
          <w:rFonts w:ascii="Times New Roman" w:hAnsi="Times New Roman" w:cs="Times New Roman"/>
          <w:color w:val="auto"/>
        </w:rPr>
        <w:t>/</w:t>
      </w:r>
      <w:proofErr w:type="spellStart"/>
      <w:r w:rsidRPr="00D57F43">
        <w:rPr>
          <w:rFonts w:ascii="Times New Roman" w:hAnsi="Times New Roman" w:cs="Times New Roman"/>
          <w:color w:val="auto"/>
        </w:rPr>
        <w:t>Collector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, компиляторы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C++ и </w:t>
      </w:r>
      <w:proofErr w:type="spellStart"/>
      <w:r w:rsidRPr="00D57F43">
        <w:rPr>
          <w:rFonts w:ascii="Times New Roman" w:hAnsi="Times New Roman" w:cs="Times New Roman"/>
          <w:color w:val="auto"/>
        </w:rPr>
        <w:t>Intel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57F43">
        <w:rPr>
          <w:rFonts w:ascii="Times New Roman" w:hAnsi="Times New Roman" w:cs="Times New Roman"/>
          <w:color w:val="auto"/>
        </w:rPr>
        <w:t>Fortran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из состава </w:t>
      </w:r>
      <w:proofErr w:type="spellStart"/>
      <w:r w:rsidRPr="00D57F43">
        <w:rPr>
          <w:rFonts w:ascii="Times New Roman" w:hAnsi="Times New Roman" w:cs="Times New Roman"/>
          <w:color w:val="auto"/>
        </w:rPr>
        <w:t>Composer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XE 2013 SP1. На год продлена техническая поддержка компиляторов PGI </w:t>
      </w:r>
      <w:proofErr w:type="spellStart"/>
      <w:r w:rsidRPr="00D57F43">
        <w:rPr>
          <w:rFonts w:ascii="Times New Roman" w:hAnsi="Times New Roman" w:cs="Times New Roman"/>
          <w:color w:val="auto"/>
        </w:rPr>
        <w:t>Accelerator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, которая предусматривает возможность обновления версий этого программного обеспечения.  PGI </w:t>
      </w:r>
      <w:proofErr w:type="spellStart"/>
      <w:r w:rsidRPr="00D57F43">
        <w:rPr>
          <w:rFonts w:ascii="Times New Roman" w:hAnsi="Times New Roman" w:cs="Times New Roman"/>
          <w:color w:val="auto"/>
        </w:rPr>
        <w:t>Accelerator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позволяет на языках </w:t>
      </w:r>
      <w:proofErr w:type="spellStart"/>
      <w:r w:rsidRPr="00D57F43">
        <w:rPr>
          <w:rFonts w:ascii="Times New Roman" w:hAnsi="Times New Roman" w:cs="Times New Roman"/>
          <w:color w:val="auto"/>
        </w:rPr>
        <w:t>Fortran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и C++ использовать вычислительные мощности GPU NVIDIA </w:t>
      </w:r>
      <w:proofErr w:type="spellStart"/>
      <w:r w:rsidRPr="00D57F43">
        <w:rPr>
          <w:rFonts w:ascii="Times New Roman" w:hAnsi="Times New Roman" w:cs="Times New Roman"/>
          <w:color w:val="auto"/>
        </w:rPr>
        <w:t>Tesla</w:t>
      </w:r>
      <w:proofErr w:type="spellEnd"/>
      <w:r w:rsidRPr="00D57F43">
        <w:rPr>
          <w:rFonts w:ascii="Times New Roman" w:hAnsi="Times New Roman" w:cs="Times New Roman"/>
          <w:color w:val="auto"/>
        </w:rPr>
        <w:t xml:space="preserve"> М2090. </w:t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3E42D2">
        <w:rPr>
          <w:rFonts w:ascii="Times New Roman" w:hAnsi="Times New Roman" w:cs="Times New Roman"/>
          <w:color w:val="auto"/>
        </w:rPr>
        <w:t xml:space="preserve">HP </w:t>
      </w:r>
      <w:proofErr w:type="spellStart"/>
      <w:r w:rsidRPr="003E42D2">
        <w:rPr>
          <w:rFonts w:ascii="Times New Roman" w:hAnsi="Times New Roman" w:cs="Times New Roman"/>
          <w:color w:val="auto"/>
        </w:rPr>
        <w:t>ProLiant</w:t>
      </w:r>
      <w:proofErr w:type="spellEnd"/>
      <w:r w:rsidRPr="003E42D2">
        <w:rPr>
          <w:rFonts w:ascii="Times New Roman" w:hAnsi="Times New Roman" w:cs="Times New Roman"/>
          <w:color w:val="auto"/>
        </w:rPr>
        <w:t xml:space="preserve"> DL980 G7 (архитектура SMP) входит в состав кластера НКС-30Т как отдельный вычислительный узел. После расширения в этом году DL980 содержит 1Тбайт оперативной памяти и восемь процессоров </w:t>
      </w:r>
      <w:proofErr w:type="spellStart"/>
      <w:r w:rsidRPr="003E42D2">
        <w:rPr>
          <w:rFonts w:ascii="Times New Roman" w:hAnsi="Times New Roman" w:cs="Times New Roman"/>
          <w:color w:val="auto"/>
        </w:rPr>
        <w:t>Intel</w:t>
      </w:r>
      <w:proofErr w:type="spellEnd"/>
      <w:r w:rsidRPr="003E42D2">
        <w:rPr>
          <w:rFonts w:ascii="Times New Roman" w:hAnsi="Times New Roman" w:cs="Times New Roman"/>
          <w:color w:val="auto"/>
        </w:rPr>
        <w:t xml:space="preserve"> Е7-4870. </w:t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uppressAutoHyphens/>
        <w:ind w:firstLine="567"/>
        <w:jc w:val="both"/>
        <w:rPr>
          <w:rFonts w:ascii="Times New Roman" w:hAnsi="Times New Roman" w:cs="Times New Roman"/>
          <w:b/>
        </w:rPr>
      </w:pPr>
      <w:r w:rsidRPr="00D57F43">
        <w:rPr>
          <w:rFonts w:ascii="Times New Roman" w:hAnsi="Times New Roman" w:cs="Times New Roman"/>
        </w:rPr>
        <w:t>В рейтинге TOP-50 по СНГ кластер НКС-30Т</w:t>
      </w:r>
      <w:r>
        <w:rPr>
          <w:rFonts w:ascii="Times New Roman" w:hAnsi="Times New Roman" w:cs="Times New Roman"/>
        </w:rPr>
        <w:t>:</w:t>
      </w:r>
      <w:r w:rsidRPr="00D57F43">
        <w:rPr>
          <w:rFonts w:ascii="Times New Roman" w:hAnsi="Times New Roman" w:cs="Times New Roman"/>
        </w:rPr>
        <w:t xml:space="preserve"> 21-место для расширения кластера на GPU (архитектура GPGPU) и 36 место для базового кластера на процессорах </w:t>
      </w:r>
      <w:proofErr w:type="spellStart"/>
      <w:r w:rsidRPr="00D57F43">
        <w:rPr>
          <w:rFonts w:ascii="Times New Roman" w:hAnsi="Times New Roman" w:cs="Times New Roman"/>
        </w:rPr>
        <w:t>Intel</w:t>
      </w:r>
      <w:proofErr w:type="spellEnd"/>
      <w:r w:rsidRPr="00D57F43">
        <w:rPr>
          <w:rFonts w:ascii="Times New Roman" w:hAnsi="Times New Roman" w:cs="Times New Roman"/>
        </w:rPr>
        <w:t xml:space="preserve"> </w:t>
      </w:r>
      <w:proofErr w:type="spellStart"/>
      <w:r w:rsidRPr="00D57F43">
        <w:rPr>
          <w:rFonts w:ascii="Times New Roman" w:hAnsi="Times New Roman" w:cs="Times New Roman"/>
        </w:rPr>
        <w:t>Xeon</w:t>
      </w:r>
      <w:proofErr w:type="spellEnd"/>
      <w:r w:rsidRPr="00D57F43">
        <w:rPr>
          <w:rFonts w:ascii="Times New Roman" w:hAnsi="Times New Roman" w:cs="Times New Roman"/>
        </w:rPr>
        <w:t xml:space="preserve"> (архитектура МРР) в 19-й редакции рейтинга от 24.09.</w:t>
      </w:r>
      <w:r w:rsidRPr="00CD2C21">
        <w:rPr>
          <w:rFonts w:ascii="Times New Roman" w:eastAsia="Calibri" w:hAnsi="Times New Roman" w:cs="Times New Roman"/>
          <w:spacing w:val="-2"/>
          <w:szCs w:val="28"/>
          <w:lang w:eastAsia="en-US"/>
        </w:rPr>
        <w:t xml:space="preserve">2013. </w:t>
      </w:r>
      <w:bookmarkEnd w:id="0"/>
      <w:r>
        <w:rPr>
          <w:rFonts w:ascii="Times New Roman" w:eastAsia="Calibri" w:hAnsi="Times New Roman" w:cs="Times New Roman"/>
          <w:spacing w:val="-2"/>
          <w:szCs w:val="28"/>
          <w:lang w:eastAsia="en-US"/>
        </w:rPr>
        <w:t>Деятельность ЦКП ССКЦ за 2013 год представлена на приведенных ниже слайдах.</w:t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935980" cy="4450080"/>
            <wp:effectExtent l="0" t="0" r="7620" b="7620"/>
            <wp:docPr id="2" name="Рисунок 2" descr="2014-02-07_ССКЦ_День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02-07_ССКЦ_День нау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16249" w:rsidRDefault="00D16249" w:rsidP="00D16249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43E5E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20740" cy="3985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27" w:rsidRDefault="00665827"/>
    <w:sectPr w:rsidR="006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49"/>
    <w:rsid w:val="00665827"/>
    <w:rsid w:val="00D1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24C8-7B28-4F57-92EF-7DA3CB7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2015-08-11T10:23:00Z</dcterms:created>
  <dcterms:modified xsi:type="dcterms:W3CDTF">2015-08-11T10:26:00Z</dcterms:modified>
</cp:coreProperties>
</file>