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C2" w:rsidRPr="005E70C2" w:rsidRDefault="005E70C2" w:rsidP="005E70C2">
      <w:pPr>
        <w:pStyle w:val="20"/>
        <w:framePr w:w="8784" w:h="13837" w:hRule="exact" w:wrap="around" w:vAnchor="page" w:hAnchor="page" w:x="1621" w:y="793"/>
        <w:spacing w:before="264" w:after="0" w:line="240" w:lineRule="auto"/>
        <w:rPr>
          <w:rStyle w:val="21"/>
          <w:rFonts w:asciiTheme="minorHAnsi" w:hAnsiTheme="minorHAnsi"/>
          <w:lang w:val="ru-RU"/>
        </w:rPr>
      </w:pPr>
      <w:bookmarkStart w:id="0" w:name="bookmark2"/>
      <w:r w:rsidRPr="005E70C2">
        <w:rPr>
          <w:rStyle w:val="21"/>
          <w:rFonts w:asciiTheme="minorHAnsi" w:hAnsiTheme="minorHAnsi"/>
          <w:lang w:val="ru-RU"/>
        </w:rPr>
        <w:t>Отчёт - 2010</w:t>
      </w:r>
    </w:p>
    <w:p w:rsidR="00413AF6" w:rsidRDefault="001B24A8" w:rsidP="005E70C2">
      <w:pPr>
        <w:pStyle w:val="20"/>
        <w:framePr w:w="8784" w:h="13837" w:hRule="exact" w:wrap="around" w:vAnchor="page" w:hAnchor="page" w:x="1621" w:y="793"/>
        <w:spacing w:before="264" w:after="0" w:line="240" w:lineRule="auto"/>
      </w:pPr>
      <w:r w:rsidRPr="005E70C2">
        <w:rPr>
          <w:rStyle w:val="21"/>
          <w:rFonts w:asciiTheme="minorHAnsi" w:hAnsiTheme="minorHAnsi"/>
        </w:rPr>
        <w:t>Важнейшие</w:t>
      </w:r>
      <w:r>
        <w:rPr>
          <w:rStyle w:val="21"/>
        </w:rPr>
        <w:t xml:space="preserve"> достижения</w:t>
      </w:r>
      <w:bookmarkEnd w:id="0"/>
    </w:p>
    <w:p w:rsidR="00413AF6" w:rsidRDefault="001B24A8" w:rsidP="005E70C2">
      <w:pPr>
        <w:pStyle w:val="22"/>
        <w:framePr w:w="8784" w:h="13837" w:hRule="exact" w:wrap="around" w:vAnchor="page" w:hAnchor="page" w:x="1621" w:y="793"/>
        <w:spacing w:before="167"/>
      </w:pPr>
      <w:r>
        <w:t>В соответствии с планом работ в 2010 г. развивались два основных направления: мо</w:t>
      </w:r>
      <w:r>
        <w:softHyphen/>
      </w:r>
      <w:r>
        <w:t>дернизация машинного зала и наращивание вычислительных ресурсов ССКЦ (включая подсистемы хранения данных) в рамках Программы СО РАН «Геномика, протеомика и биоинформатика». Прорабатывался проект объединения вычислительных ресурсов СО РАН: ССКЦ, НГУ, ИВТ, И</w:t>
      </w:r>
      <w:r>
        <w:t xml:space="preserve">ЯФ по схеме «звезда» с использованием 10 </w:t>
      </w:r>
      <w:r>
        <w:rPr>
          <w:lang w:val="en-US"/>
        </w:rPr>
        <w:t>G</w:t>
      </w:r>
      <w:r>
        <w:t xml:space="preserve">-ного канала. Комиссия по комплексной проверке ИВМиМГ в свои выводы и предложения включила рекомендации по наращиванию вычислительных мощностей ССКЦ до 80-100ТФлопс и закупке лицензионного программного обеспечения </w:t>
      </w:r>
      <w:r>
        <w:t>в 2011-2012 гг. Институту было ре</w:t>
      </w:r>
      <w:r>
        <w:softHyphen/>
        <w:t>комендовано усилить работу по применению гибридных вычислительных комплексов, включающих графические ускорители, для решения актуальных задач фундаменталь</w:t>
      </w:r>
      <w:r>
        <w:softHyphen/>
        <w:t>ных исследований СО РАН. В соответствии с этой рекомендацией разраб</w:t>
      </w:r>
      <w:r>
        <w:t>отан эскизный проект гетерогенного кластера с использованием графических ускорителей Тесла.</w:t>
      </w:r>
    </w:p>
    <w:p w:rsidR="00413AF6" w:rsidRDefault="001B24A8" w:rsidP="005E70C2">
      <w:pPr>
        <w:pStyle w:val="22"/>
        <w:framePr w:w="8784" w:h="13837" w:hRule="exact" w:wrap="around" w:vAnchor="page" w:hAnchor="page" w:x="1621" w:y="793"/>
        <w:spacing w:before="0"/>
      </w:pPr>
      <w:r>
        <w:t>ИВМиМГ входит в межинститутский распределенный Центр коллективного пользо</w:t>
      </w:r>
      <w:r>
        <w:softHyphen/>
        <w:t>вания «Биоинформатика» (ЦКП «Биоинформатика») как одна из организаций-учреди</w:t>
      </w:r>
      <w:r>
        <w:softHyphen/>
        <w:t>телей.</w:t>
      </w:r>
    </w:p>
    <w:p w:rsidR="00413AF6" w:rsidRDefault="001B24A8" w:rsidP="005E70C2">
      <w:pPr>
        <w:pStyle w:val="20"/>
        <w:framePr w:w="8784" w:h="13837" w:hRule="exact" w:wrap="around" w:vAnchor="page" w:hAnchor="page" w:x="1621" w:y="793"/>
        <w:spacing w:before="277" w:after="0" w:line="288" w:lineRule="exact"/>
      </w:pPr>
      <w:bookmarkStart w:id="1" w:name="bookmark3"/>
      <w:r>
        <w:rPr>
          <w:rStyle w:val="21"/>
        </w:rPr>
        <w:t xml:space="preserve">Отчет </w:t>
      </w:r>
      <w:r>
        <w:rPr>
          <w:rStyle w:val="21"/>
        </w:rPr>
        <w:t>по этапам НИР, завершенным в 2010 году в соответствии с планом НИР института</w:t>
      </w:r>
      <w:bookmarkEnd w:id="1"/>
    </w:p>
    <w:p w:rsidR="00413AF6" w:rsidRDefault="001B24A8" w:rsidP="005E70C2">
      <w:pPr>
        <w:pStyle w:val="25"/>
        <w:framePr w:w="8784" w:h="13837" w:hRule="exact" w:wrap="around" w:vAnchor="page" w:hAnchor="page" w:x="1621" w:y="793"/>
        <w:spacing w:before="138" w:after="0" w:line="240" w:lineRule="auto"/>
      </w:pPr>
      <w:r>
        <w:rPr>
          <w:rStyle w:val="26"/>
        </w:rPr>
        <w:t>Наращивание вычислительных ресурсов</w:t>
      </w:r>
    </w:p>
    <w:p w:rsidR="00413AF6" w:rsidRDefault="001B24A8" w:rsidP="005E70C2">
      <w:pPr>
        <w:pStyle w:val="22"/>
        <w:framePr w:w="8784" w:h="13837" w:hRule="exact" w:wrap="around" w:vAnchor="page" w:hAnchor="page" w:x="1621" w:y="793"/>
        <w:spacing w:before="167"/>
      </w:pPr>
      <w:r>
        <w:t>В апреле 2010 г. были проведены строительно-изыскательские работы, в ходе кото</w:t>
      </w:r>
      <w:r>
        <w:softHyphen/>
        <w:t>рых была установлена текущая несущая способность перекрытий и ба</w:t>
      </w:r>
      <w:r>
        <w:t>лок помещения для ИБП. В мае 2010 г. выполнены проектные работы по усилению несущей способно</w:t>
      </w:r>
      <w:r>
        <w:softHyphen/>
        <w:t>сти перекрытий данного помещения. В июле 2010 г. в этом помещении (60 кв.м.) была полностью удалена бетонно-песчаная стяжка (около 20 т), на четыре опорные балки б</w:t>
      </w:r>
      <w:r>
        <w:t>ыла установлена металлическая рама из швеллера 24 размером 4200 х 1200 мм. Кон</w:t>
      </w:r>
      <w:r>
        <w:softHyphen/>
        <w:t xml:space="preserve">струкция рамы и способ крепления к балкам позволяют разместить оборудование весом 7,4 т. Далее была установлена металлическая потенциало-выравнивающая сетка 5 х 200, играющая и </w:t>
      </w:r>
      <w:r>
        <w:t>роль дополнительного распределения нагрузки. Затем была залита бетон- но-песчаная стяжка в два уровня, что позволило ослабить общую нагрузку на 6 т по сравнению с ранее залитой стяжкой.</w:t>
      </w:r>
    </w:p>
    <w:p w:rsidR="00413AF6" w:rsidRDefault="001B24A8" w:rsidP="005E70C2">
      <w:pPr>
        <w:pStyle w:val="22"/>
        <w:framePr w:w="8784" w:h="13837" w:hRule="exact" w:wrap="around" w:vAnchor="page" w:hAnchor="page" w:x="1621" w:y="793"/>
        <w:spacing w:before="0"/>
      </w:pPr>
      <w:r>
        <w:t xml:space="preserve">На установленную раму был смонтирован ИБП </w:t>
      </w:r>
      <w:r>
        <w:rPr>
          <w:lang w:val="en-US"/>
        </w:rPr>
        <w:t>APC</w:t>
      </w:r>
      <w:r w:rsidRPr="005E70C2">
        <w:rPr>
          <w:lang w:val="ru-RU"/>
        </w:rPr>
        <w:t xml:space="preserve"> </w:t>
      </w:r>
      <w:r>
        <w:rPr>
          <w:lang w:val="en-US"/>
        </w:rPr>
        <w:t>Symmetra</w:t>
      </w:r>
      <w:r w:rsidRPr="005E70C2">
        <w:rPr>
          <w:lang w:val="ru-RU"/>
        </w:rPr>
        <w:t xml:space="preserve"> </w:t>
      </w:r>
      <w:r>
        <w:rPr>
          <w:lang w:val="en-US"/>
        </w:rPr>
        <w:t>PX</w:t>
      </w:r>
      <w:r w:rsidRPr="005E70C2">
        <w:rPr>
          <w:lang w:val="ru-RU"/>
        </w:rPr>
        <w:t xml:space="preserve">2 </w:t>
      </w:r>
      <w:r>
        <w:t xml:space="preserve">на 64 кВт, </w:t>
      </w:r>
      <w:r>
        <w:t xml:space="preserve">расширяемый до 160 кВт без дополнительных затрат на инфраструктуру. Также в этом помещения был смонтирован байпас (панель обходного режима питания) для ИБП </w:t>
      </w:r>
      <w:r>
        <w:rPr>
          <w:lang w:val="en-US"/>
        </w:rPr>
        <w:t>Symmetra</w:t>
      </w:r>
      <w:r w:rsidRPr="005E70C2">
        <w:rPr>
          <w:lang w:val="ru-RU"/>
        </w:rPr>
        <w:t xml:space="preserve"> </w:t>
      </w:r>
      <w:r>
        <w:rPr>
          <w:lang w:val="en-US"/>
        </w:rPr>
        <w:t>PX</w:t>
      </w:r>
      <w:r w:rsidRPr="005E70C2">
        <w:rPr>
          <w:lang w:val="ru-RU"/>
        </w:rPr>
        <w:t xml:space="preserve">2 </w:t>
      </w:r>
      <w:r>
        <w:t>с максимальным входным током до 425 А. Подготовлена кабельная система для переноса и по</w:t>
      </w:r>
      <w:r>
        <w:t xml:space="preserve">дключения имеющегося в старом зале ИБП </w:t>
      </w:r>
      <w:r>
        <w:rPr>
          <w:lang w:val="en-US"/>
        </w:rPr>
        <w:t>APC</w:t>
      </w:r>
      <w:r w:rsidRPr="005E70C2">
        <w:rPr>
          <w:lang w:val="ru-RU"/>
        </w:rPr>
        <w:t xml:space="preserve"> </w:t>
      </w:r>
      <w:r>
        <w:rPr>
          <w:lang w:val="en-US"/>
        </w:rPr>
        <w:t>Symmetra</w:t>
      </w:r>
      <w:r w:rsidRPr="005E70C2">
        <w:rPr>
          <w:lang w:val="ru-RU"/>
        </w:rPr>
        <w:t xml:space="preserve"> </w:t>
      </w:r>
      <w:r>
        <w:rPr>
          <w:lang w:val="en-US"/>
        </w:rPr>
        <w:t>PX</w:t>
      </w:r>
      <w:r w:rsidRPr="005E70C2">
        <w:rPr>
          <w:lang w:val="ru-RU"/>
        </w:rPr>
        <w:t xml:space="preserve"> </w:t>
      </w:r>
      <w:r>
        <w:t>на 80 кВт и двух промышленных прецизионных кондиционеров в новый машинный зал.</w:t>
      </w:r>
    </w:p>
    <w:p w:rsidR="00413AF6" w:rsidRPr="005E70C2" w:rsidRDefault="001B24A8" w:rsidP="005E70C2">
      <w:pPr>
        <w:pStyle w:val="22"/>
        <w:framePr w:w="8784" w:h="13837" w:hRule="exact" w:wrap="around" w:vAnchor="page" w:hAnchor="page" w:x="1621" w:y="793"/>
        <w:spacing w:before="0"/>
        <w:rPr>
          <w:lang w:val="ru-RU"/>
        </w:rPr>
      </w:pPr>
      <w:r>
        <w:t xml:space="preserve">Проведена реконструкция кластера НКС-30Т, к имеющимся двум шасси </w:t>
      </w:r>
      <w:r>
        <w:rPr>
          <w:lang w:val="en-US"/>
        </w:rPr>
        <w:t>HP</w:t>
      </w:r>
      <w:r w:rsidRPr="005E70C2">
        <w:rPr>
          <w:lang w:val="ru-RU"/>
        </w:rPr>
        <w:t xml:space="preserve"> </w:t>
      </w:r>
      <w:r>
        <w:rPr>
          <w:lang w:val="en-US"/>
        </w:rPr>
        <w:t>C</w:t>
      </w:r>
      <w:r w:rsidRPr="005E70C2">
        <w:rPr>
          <w:lang w:val="ru-RU"/>
        </w:rPr>
        <w:t xml:space="preserve">7000 </w:t>
      </w:r>
      <w:r>
        <w:t xml:space="preserve">с 32 серверами </w:t>
      </w:r>
      <w:r>
        <w:rPr>
          <w:lang w:val="en-US"/>
        </w:rPr>
        <w:t>HP</w:t>
      </w:r>
      <w:r w:rsidRPr="005E70C2">
        <w:rPr>
          <w:lang w:val="ru-RU"/>
        </w:rPr>
        <w:t xml:space="preserve"> </w:t>
      </w:r>
      <w:r>
        <w:rPr>
          <w:lang w:val="en-US"/>
        </w:rPr>
        <w:t>BL</w:t>
      </w:r>
      <w:r w:rsidRPr="005E70C2">
        <w:rPr>
          <w:lang w:val="ru-RU"/>
        </w:rPr>
        <w:t>2</w:t>
      </w:r>
      <w:r>
        <w:rPr>
          <w:lang w:val="en-US"/>
        </w:rPr>
        <w:t>x</w:t>
      </w:r>
      <w:r w:rsidRPr="005E70C2">
        <w:rPr>
          <w:lang w:val="ru-RU"/>
        </w:rPr>
        <w:t>220</w:t>
      </w:r>
      <w:r>
        <w:rPr>
          <w:lang w:val="en-US"/>
        </w:rPr>
        <w:t>c</w:t>
      </w:r>
      <w:r w:rsidRPr="005E70C2">
        <w:rPr>
          <w:lang w:val="ru-RU"/>
        </w:rPr>
        <w:t xml:space="preserve"> </w:t>
      </w:r>
      <w:r>
        <w:rPr>
          <w:lang w:val="en-US"/>
        </w:rPr>
        <w:t>G</w:t>
      </w:r>
      <w:r w:rsidRPr="005E70C2">
        <w:rPr>
          <w:lang w:val="ru-RU"/>
        </w:rPr>
        <w:t xml:space="preserve">5 </w:t>
      </w:r>
      <w:r>
        <w:t xml:space="preserve">на процессорах </w:t>
      </w:r>
      <w:r>
        <w:rPr>
          <w:lang w:val="en-US"/>
        </w:rPr>
        <w:t>Intel</w:t>
      </w:r>
      <w:r w:rsidRPr="005E70C2">
        <w:rPr>
          <w:lang w:val="ru-RU"/>
        </w:rPr>
        <w:t xml:space="preserve"> </w:t>
      </w:r>
      <w:r>
        <w:rPr>
          <w:lang w:val="en-US"/>
        </w:rPr>
        <w:t>Xeon</w:t>
      </w:r>
      <w:r w:rsidRPr="005E70C2">
        <w:rPr>
          <w:lang w:val="ru-RU"/>
        </w:rPr>
        <w:t xml:space="preserve"> </w:t>
      </w:r>
      <w:r>
        <w:rPr>
          <w:lang w:val="en-US"/>
        </w:rPr>
        <w:t>E</w:t>
      </w:r>
      <w:r w:rsidRPr="005E70C2">
        <w:rPr>
          <w:lang w:val="ru-RU"/>
        </w:rPr>
        <w:t xml:space="preserve">5450 </w:t>
      </w:r>
      <w:r>
        <w:t>были добавлены 4 та</w:t>
      </w:r>
      <w:r>
        <w:softHyphen/>
        <w:t xml:space="preserve">ких же шасси с 64 серверами </w:t>
      </w:r>
      <w:r>
        <w:rPr>
          <w:lang w:val="en-US"/>
        </w:rPr>
        <w:t>HP</w:t>
      </w:r>
      <w:r w:rsidRPr="005E70C2">
        <w:rPr>
          <w:lang w:val="ru-RU"/>
        </w:rPr>
        <w:t xml:space="preserve"> </w:t>
      </w:r>
      <w:r>
        <w:rPr>
          <w:lang w:val="en-US"/>
        </w:rPr>
        <w:t>BL</w:t>
      </w:r>
      <w:r w:rsidRPr="005E70C2">
        <w:rPr>
          <w:lang w:val="ru-RU"/>
        </w:rPr>
        <w:t>2</w:t>
      </w:r>
      <w:r>
        <w:rPr>
          <w:lang w:val="en-US"/>
        </w:rPr>
        <w:t>x</w:t>
      </w:r>
      <w:r w:rsidRPr="005E70C2">
        <w:rPr>
          <w:lang w:val="ru-RU"/>
        </w:rPr>
        <w:t>220</w:t>
      </w:r>
      <w:r>
        <w:rPr>
          <w:lang w:val="en-US"/>
        </w:rPr>
        <w:t>c</w:t>
      </w:r>
      <w:r w:rsidRPr="005E70C2">
        <w:rPr>
          <w:lang w:val="ru-RU"/>
        </w:rPr>
        <w:t xml:space="preserve"> </w:t>
      </w:r>
      <w:r>
        <w:rPr>
          <w:lang w:val="en-US"/>
        </w:rPr>
        <w:t>G</w:t>
      </w:r>
      <w:r w:rsidRPr="005E70C2">
        <w:rPr>
          <w:lang w:val="ru-RU"/>
        </w:rPr>
        <w:t xml:space="preserve">6 </w:t>
      </w:r>
      <w:r>
        <w:t xml:space="preserve">на процессорах </w:t>
      </w:r>
      <w:r>
        <w:rPr>
          <w:lang w:val="en-US"/>
        </w:rPr>
        <w:t>Intel</w:t>
      </w:r>
      <w:r w:rsidRPr="005E70C2">
        <w:rPr>
          <w:lang w:val="ru-RU"/>
        </w:rPr>
        <w:t xml:space="preserve"> </w:t>
      </w:r>
      <w:r>
        <w:rPr>
          <w:lang w:val="en-US"/>
        </w:rPr>
        <w:t>Xeon</w:t>
      </w:r>
      <w:r w:rsidRPr="005E70C2">
        <w:rPr>
          <w:lang w:val="ru-RU"/>
        </w:rPr>
        <w:t xml:space="preserve"> </w:t>
      </w:r>
      <w:r>
        <w:rPr>
          <w:lang w:val="en-US"/>
        </w:rPr>
        <w:t>E</w:t>
      </w:r>
      <w:r w:rsidRPr="005E70C2">
        <w:rPr>
          <w:lang w:val="ru-RU"/>
        </w:rPr>
        <w:t xml:space="preserve">5540. </w:t>
      </w:r>
      <w:r>
        <w:t xml:space="preserve">Все серверы кластера теперь объединены высокопроизводительной вычислительной сетью стандарта </w:t>
      </w:r>
      <w:r>
        <w:rPr>
          <w:lang w:val="en-US"/>
        </w:rPr>
        <w:t>InfiniBand</w:t>
      </w:r>
      <w:r w:rsidRPr="005E70C2">
        <w:rPr>
          <w:lang w:val="ru-RU"/>
        </w:rPr>
        <w:t xml:space="preserve"> </w:t>
      </w:r>
      <w:r>
        <w:t xml:space="preserve">4Х </w:t>
      </w:r>
      <w:r>
        <w:rPr>
          <w:lang w:val="en-US"/>
        </w:rPr>
        <w:t>QDR</w:t>
      </w:r>
      <w:r w:rsidRPr="005E70C2">
        <w:rPr>
          <w:lang w:val="ru-RU"/>
        </w:rPr>
        <w:t xml:space="preserve"> </w:t>
      </w:r>
      <w:r>
        <w:rPr>
          <w:lang w:val="en-US"/>
        </w:rPr>
        <w:t>IBTA</w:t>
      </w:r>
      <w:r w:rsidRPr="005E70C2">
        <w:rPr>
          <w:lang w:val="ru-RU"/>
        </w:rPr>
        <w:t xml:space="preserve"> </w:t>
      </w:r>
      <w:r>
        <w:t>1.2 со скоростью в полном д</w:t>
      </w:r>
      <w:r>
        <w:t xml:space="preserve">уплексе 40 Гбит/с, что превышает вдвое скорость первой части НКС-30Т, смонтированной ранее на </w:t>
      </w:r>
      <w:r>
        <w:rPr>
          <w:lang w:val="en-US"/>
        </w:rPr>
        <w:t>InfiniBand</w:t>
      </w:r>
      <w:r w:rsidRPr="005E70C2">
        <w:rPr>
          <w:lang w:val="ru-RU"/>
        </w:rPr>
        <w:t xml:space="preserve"> </w:t>
      </w:r>
      <w:r>
        <w:t xml:space="preserve">4Х </w:t>
      </w:r>
      <w:r>
        <w:rPr>
          <w:lang w:val="en-US"/>
        </w:rPr>
        <w:t>DDR</w:t>
      </w:r>
      <w:r w:rsidRPr="005E70C2">
        <w:rPr>
          <w:lang w:val="ru-RU"/>
        </w:rPr>
        <w:t xml:space="preserve">. </w:t>
      </w:r>
      <w:r>
        <w:t>Сейчас общее количество узлов на кластере 192, общее количество ядер 1536,</w:t>
      </w:r>
      <w:r w:rsidR="005E70C2">
        <w:rPr>
          <w:lang w:val="ru-RU"/>
        </w:rPr>
        <w:t xml:space="preserve"> </w:t>
      </w:r>
      <w:r w:rsidR="005E70C2" w:rsidRPr="005E70C2">
        <w:rPr>
          <w:lang w:val="ru-RU"/>
        </w:rPr>
        <w:t>общий объем памяти 3072 ГБ. Теоретическая пиковая производительность составляет 16,506 ТФлоп/c, в результате кропотливой настройки достигнута максимальная рабочая производительность 12,55 ТФлоп/c (Linpaсk). Отдельная относительная производитель¬ность на процессорах Intel Xeon E5450 доведена до 76%, а на новых процессорах Nehalem Intel Xeon E5540 до 87%. Обновленный кластер подключен к новой системе хранения данных Ibrix X9000 Network Storage Systems общим объемом неформатированного про¬странства 48 ТБ.</w:t>
      </w:r>
    </w:p>
    <w:p w:rsidR="00413AF6" w:rsidRDefault="00413AF6">
      <w:pPr>
        <w:rPr>
          <w:sz w:val="0"/>
          <w:szCs w:val="0"/>
        </w:rPr>
        <w:sectPr w:rsidR="00413AF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  <w:bookmarkStart w:id="2" w:name="_GoBack"/>
      <w:bookmarkEnd w:id="2"/>
    </w:p>
    <w:p w:rsidR="00413AF6" w:rsidRDefault="001B24A8" w:rsidP="005E70C2">
      <w:pPr>
        <w:pStyle w:val="25"/>
        <w:framePr w:w="8789" w:h="4597" w:hRule="exact" w:wrap="around" w:vAnchor="page" w:hAnchor="page" w:x="1897" w:y="1033"/>
        <w:spacing w:before="235" w:after="0" w:line="240" w:lineRule="auto"/>
      </w:pPr>
      <w:r>
        <w:rPr>
          <w:rStyle w:val="26"/>
          <w:lang w:val="en-US"/>
        </w:rPr>
        <w:lastRenderedPageBreak/>
        <w:t>NumGRID</w:t>
      </w:r>
      <w:r w:rsidRPr="005E70C2">
        <w:rPr>
          <w:rStyle w:val="26"/>
          <w:lang w:val="ru-RU"/>
        </w:rPr>
        <w:t xml:space="preserve"> </w:t>
      </w:r>
      <w:r>
        <w:rPr>
          <w:rStyle w:val="26"/>
        </w:rPr>
        <w:t>— программное обеспечение и численные эксперименты</w:t>
      </w:r>
    </w:p>
    <w:p w:rsidR="00413AF6" w:rsidRDefault="001B24A8" w:rsidP="005E70C2">
      <w:pPr>
        <w:pStyle w:val="22"/>
        <w:framePr w:w="8789" w:h="4597" w:hRule="exact" w:wrap="around" w:vAnchor="page" w:hAnchor="page" w:x="1897" w:y="1033"/>
        <w:spacing w:before="107"/>
        <w:ind w:firstLine="340"/>
      </w:pPr>
      <w:r>
        <w:t>Разработана интерфейсная подсистема для комплекса системного программного обес</w:t>
      </w:r>
      <w:r>
        <w:softHyphen/>
        <w:t xml:space="preserve">печения </w:t>
      </w:r>
      <w:r>
        <w:rPr>
          <w:lang w:val="en-US"/>
        </w:rPr>
        <w:t>NumGRID</w:t>
      </w:r>
      <w:r w:rsidRPr="005E70C2">
        <w:rPr>
          <w:lang w:val="ru-RU"/>
        </w:rPr>
        <w:t xml:space="preserve">, </w:t>
      </w:r>
      <w:r>
        <w:t>позволяющая в едином стиле и в рамках единого командного язы</w:t>
      </w:r>
      <w:r>
        <w:softHyphen/>
        <w:t xml:space="preserve">ка формировать задания для различных </w:t>
      </w:r>
      <w:r>
        <w:t xml:space="preserve">кластеров, включенных в пул оборудования </w:t>
      </w:r>
      <w:r>
        <w:rPr>
          <w:lang w:val="en-US"/>
        </w:rPr>
        <w:t>NumGRID</w:t>
      </w:r>
      <w:r w:rsidRPr="005E70C2">
        <w:rPr>
          <w:lang w:val="ru-RU"/>
        </w:rPr>
        <w:t>.</w:t>
      </w:r>
    </w:p>
    <w:p w:rsidR="00413AF6" w:rsidRDefault="001B24A8" w:rsidP="005E70C2">
      <w:pPr>
        <w:pStyle w:val="22"/>
        <w:framePr w:w="8789" w:h="4597" w:hRule="exact" w:wrap="around" w:vAnchor="page" w:hAnchor="page" w:x="1897" w:y="1033"/>
        <w:spacing w:before="0"/>
        <w:ind w:firstLine="340"/>
      </w:pPr>
      <w:r>
        <w:t>Проведены эксперименты по объединению кластеров Сибирского суперкомпьютерно</w:t>
      </w:r>
      <w:r>
        <w:softHyphen/>
        <w:t>го центра СО РАН и Новосибирского государственного университета на примере ком</w:t>
      </w:r>
      <w:r>
        <w:softHyphen/>
        <w:t>плекса программ М.А. Марченко (ИВМиМГ СО РАН) для ч</w:t>
      </w:r>
      <w:r>
        <w:t>исленного моделирования физических явлений методом Монте-Карло и программы С.Е. Киреева (ИВМиМГ СО РАН) для решения волнового уравнения с помощью двухслойной явной схемы. В ре</w:t>
      </w:r>
      <w:r>
        <w:softHyphen/>
        <w:t>зультате экспериментов установлено, что в зависимости от способа распределения в</w:t>
      </w:r>
      <w:r>
        <w:t>ы</w:t>
      </w:r>
      <w:r>
        <w:softHyphen/>
        <w:t>числений между кластерами меняется эффективность работы приложений. А также по</w:t>
      </w:r>
      <w:r>
        <w:softHyphen/>
        <w:t>казано, что использование дополнительных процессоров из другого кластера позволяет уменьшать время выполнения приложения при определенных конфигурациях запуска. В частности, н</w:t>
      </w:r>
      <w:r>
        <w:t xml:space="preserve">а задаче решения волнового уравнения достигается эффективность 90% на 40 процессорных ядрах относительно производительности программы на 8 ядрах, и 65% на 96 ядрах. На задаче генерации случайных чисел достигается эффективность 92% на 24 ядрах и 109% на 88 </w:t>
      </w:r>
      <w:r>
        <w:t>ядрах.</w:t>
      </w:r>
    </w:p>
    <w:p w:rsidR="00413AF6" w:rsidRDefault="001B24A8" w:rsidP="005E70C2">
      <w:pPr>
        <w:pStyle w:val="20"/>
        <w:framePr w:w="8789" w:h="2722" w:hRule="exact" w:wrap="around" w:vAnchor="page" w:hAnchor="page" w:x="1897" w:y="5833"/>
        <w:spacing w:before="0" w:after="0" w:line="288" w:lineRule="exact"/>
      </w:pPr>
      <w:bookmarkStart w:id="3" w:name="bookmark4"/>
      <w:r>
        <w:rPr>
          <w:rStyle w:val="21"/>
        </w:rPr>
        <w:t>Результаты работ по научно-исследовательским программам, проектам Президиума РАН, ОМН РАН и Сибирского отделения РАН</w:t>
      </w:r>
      <w:bookmarkEnd w:id="3"/>
    </w:p>
    <w:p w:rsidR="00413AF6" w:rsidRDefault="001B24A8" w:rsidP="005E70C2">
      <w:pPr>
        <w:pStyle w:val="22"/>
        <w:framePr w:w="8789" w:h="2722" w:hRule="exact" w:wrap="around" w:vAnchor="page" w:hAnchor="page" w:x="1897" w:y="5833"/>
        <w:spacing w:before="83"/>
        <w:ind w:firstLine="340"/>
      </w:pPr>
      <w:r>
        <w:t xml:space="preserve">На вычислительных ресурсах ССКЦ выполняются работы сотрудников институтов СО РАН, а также представителей промышленности ФГУН ГНЦ ВБ </w:t>
      </w:r>
      <w:r>
        <w:t>«Вектор», СибНИА им. Чаплыгина, Новосибирского отделения фирмы Шлюмберже, фирмы УниПро.</w:t>
      </w:r>
    </w:p>
    <w:p w:rsidR="00413AF6" w:rsidRDefault="001B24A8" w:rsidP="005E70C2">
      <w:pPr>
        <w:pStyle w:val="22"/>
        <w:framePr w:w="8789" w:h="2722" w:hRule="exact" w:wrap="around" w:vAnchor="page" w:hAnchor="page" w:x="1897" w:y="5833"/>
        <w:spacing w:before="0"/>
        <w:ind w:firstLine="340"/>
      </w:pPr>
      <w:r>
        <w:t>По отчетам пользователей в 2010 г. вычислительные мощности ССКЦ использовались для работы в более 120 грантах, программах и проектах. Услугами ССКЦ воспользова</w:t>
      </w:r>
      <w:r>
        <w:softHyphen/>
      </w:r>
      <w:r>
        <w:t>лись 25 организаций.</w:t>
      </w:r>
    </w:p>
    <w:p w:rsidR="00413AF6" w:rsidRDefault="001B24A8" w:rsidP="005E70C2">
      <w:pPr>
        <w:pStyle w:val="25"/>
        <w:framePr w:w="8789" w:h="2722" w:hRule="exact" w:wrap="around" w:vAnchor="page" w:hAnchor="page" w:x="1897" w:y="5833"/>
        <w:spacing w:before="235" w:after="0" w:line="240" w:lineRule="auto"/>
      </w:pPr>
      <w:r>
        <w:t>Гранты, при выполнении которых использовались услуги ССКЦ в 2010 г.</w:t>
      </w:r>
    </w:p>
    <w:p w:rsidR="00413AF6" w:rsidRDefault="001B24A8" w:rsidP="005E70C2">
      <w:pPr>
        <w:pStyle w:val="40"/>
        <w:framePr w:w="3682" w:h="3325" w:hRule="exact" w:wrap="around" w:vAnchor="page" w:hAnchor="page" w:x="1921" w:y="9061"/>
        <w:spacing w:after="0" w:line="240" w:lineRule="auto"/>
      </w:pPr>
      <w:r>
        <w:t>Всего грантов, программ и проектов —</w:t>
      </w:r>
      <w:r>
        <w:rPr>
          <w:rStyle w:val="41"/>
        </w:rPr>
        <w:t xml:space="preserve"> 120</w:t>
      </w:r>
    </w:p>
    <w:p w:rsidR="005E70C2" w:rsidRDefault="001B24A8" w:rsidP="005E70C2">
      <w:pPr>
        <w:pStyle w:val="40"/>
        <w:framePr w:w="3682" w:h="3325" w:hRule="exact" w:wrap="around" w:vAnchor="page" w:hAnchor="page" w:x="1921" w:y="9061"/>
        <w:spacing w:before="47" w:after="0" w:line="216" w:lineRule="exact"/>
      </w:pPr>
      <w:r>
        <w:t>Из них Российских —</w:t>
      </w:r>
      <w:r>
        <w:rPr>
          <w:rStyle w:val="41"/>
        </w:rPr>
        <w:t xml:space="preserve"> 120</w:t>
      </w:r>
      <w:r w:rsidR="005E70C2">
        <w:rPr>
          <w:rStyle w:val="41"/>
        </w:rPr>
        <w:br/>
      </w:r>
      <w:r>
        <w:t>Международных — 0</w:t>
      </w:r>
    </w:p>
    <w:p w:rsidR="005E70C2" w:rsidRDefault="005E70C2" w:rsidP="005E70C2">
      <w:pPr>
        <w:pStyle w:val="40"/>
        <w:framePr w:w="3682" w:h="3325" w:hRule="exact" w:wrap="around" w:vAnchor="page" w:hAnchor="page" w:x="1921" w:y="9061"/>
        <w:spacing w:before="47" w:after="0" w:line="216" w:lineRule="exact"/>
        <w:rPr>
          <w:rStyle w:val="41"/>
        </w:rPr>
      </w:pPr>
      <w:r>
        <w:br/>
      </w:r>
      <w:r w:rsidR="001B24A8">
        <w:t xml:space="preserve">Грантов РФФИ </w:t>
      </w:r>
      <w:r>
        <w:t>–</w:t>
      </w:r>
      <w:r w:rsidR="001B24A8">
        <w:rPr>
          <w:rStyle w:val="41"/>
        </w:rPr>
        <w:t xml:space="preserve"> 41</w:t>
      </w:r>
      <w:r>
        <w:rPr>
          <w:rStyle w:val="41"/>
        </w:rPr>
        <w:br/>
      </w:r>
      <w:r w:rsidR="001B24A8">
        <w:t xml:space="preserve">Программ РАН </w:t>
      </w:r>
      <w:r>
        <w:t>–</w:t>
      </w:r>
      <w:r w:rsidR="001B24A8">
        <w:rPr>
          <w:rStyle w:val="41"/>
        </w:rPr>
        <w:t xml:space="preserve"> 24</w:t>
      </w:r>
      <w:r>
        <w:rPr>
          <w:rStyle w:val="41"/>
        </w:rPr>
        <w:br/>
      </w:r>
      <w:r w:rsidR="001B24A8">
        <w:t xml:space="preserve">Проектов СО РАН </w:t>
      </w:r>
      <w:r>
        <w:t>–</w:t>
      </w:r>
      <w:r w:rsidR="001B24A8">
        <w:rPr>
          <w:rStyle w:val="41"/>
        </w:rPr>
        <w:t xml:space="preserve"> 20</w:t>
      </w:r>
      <w:r>
        <w:rPr>
          <w:rStyle w:val="41"/>
        </w:rPr>
        <w:br/>
      </w:r>
      <w:r w:rsidR="001B24A8">
        <w:t xml:space="preserve">Программ Минобразнауки </w:t>
      </w:r>
      <w:r>
        <w:t>–</w:t>
      </w:r>
      <w:r>
        <w:rPr>
          <w:rStyle w:val="41"/>
        </w:rPr>
        <w:t xml:space="preserve"> 9</w:t>
      </w:r>
    </w:p>
    <w:p w:rsidR="005E70C2" w:rsidRDefault="001B24A8" w:rsidP="005E70C2">
      <w:pPr>
        <w:pStyle w:val="40"/>
        <w:framePr w:w="3682" w:h="3325" w:hRule="exact" w:wrap="around" w:vAnchor="page" w:hAnchor="page" w:x="1921" w:y="9061"/>
        <w:spacing w:before="47" w:after="0" w:line="216" w:lineRule="exact"/>
        <w:rPr>
          <w:rStyle w:val="41"/>
        </w:rPr>
      </w:pPr>
      <w:r>
        <w:t xml:space="preserve">Другие </w:t>
      </w:r>
      <w:r w:rsidR="005E70C2">
        <w:t>–</w:t>
      </w:r>
      <w:r>
        <w:rPr>
          <w:rStyle w:val="41"/>
        </w:rPr>
        <w:t xml:space="preserve"> 26</w:t>
      </w:r>
    </w:p>
    <w:p w:rsidR="00413AF6" w:rsidRDefault="005E70C2" w:rsidP="005E70C2">
      <w:pPr>
        <w:pStyle w:val="40"/>
        <w:framePr w:w="3682" w:h="3325" w:hRule="exact" w:wrap="around" w:vAnchor="page" w:hAnchor="page" w:x="1921" w:y="9061"/>
        <w:spacing w:before="47" w:after="0" w:line="216" w:lineRule="exact"/>
      </w:pPr>
      <w:r>
        <w:rPr>
          <w:rStyle w:val="41"/>
        </w:rPr>
        <w:br/>
      </w:r>
      <w:r w:rsidR="001B24A8">
        <w:t xml:space="preserve">Всего публикаций </w:t>
      </w:r>
      <w:r>
        <w:t>–</w:t>
      </w:r>
      <w:r w:rsidR="001B24A8">
        <w:rPr>
          <w:rStyle w:val="41"/>
        </w:rPr>
        <w:t xml:space="preserve"> 142</w:t>
      </w:r>
      <w:r>
        <w:rPr>
          <w:rStyle w:val="41"/>
        </w:rPr>
        <w:br/>
      </w:r>
      <w:r w:rsidR="001B24A8">
        <w:t xml:space="preserve">Российских </w:t>
      </w:r>
      <w:r>
        <w:t>–</w:t>
      </w:r>
      <w:r w:rsidR="001B24A8">
        <w:rPr>
          <w:rStyle w:val="41"/>
        </w:rPr>
        <w:t xml:space="preserve"> 86</w:t>
      </w:r>
      <w:r>
        <w:rPr>
          <w:rStyle w:val="41"/>
        </w:rPr>
        <w:br/>
      </w:r>
      <w:r w:rsidR="001B24A8">
        <w:t>Зарубежных</w:t>
      </w:r>
      <w:r w:rsidR="001B24A8">
        <w:rPr>
          <w:rStyle w:val="41"/>
        </w:rPr>
        <w:t xml:space="preserve"> -56</w:t>
      </w:r>
    </w:p>
    <w:p w:rsidR="00413AF6" w:rsidRDefault="001B24A8" w:rsidP="005E70C2">
      <w:pPr>
        <w:pStyle w:val="40"/>
        <w:framePr w:w="2112" w:h="211" w:hRule="exact" w:wrap="around" w:vAnchor="page" w:hAnchor="page" w:x="7285" w:y="8869"/>
        <w:spacing w:after="0" w:line="240" w:lineRule="auto"/>
      </w:pPr>
      <w:r>
        <w:t>Гранты по институтам:</w:t>
      </w:r>
    </w:p>
    <w:p w:rsidR="005E70C2" w:rsidRDefault="001B24A8" w:rsidP="005E70C2">
      <w:pPr>
        <w:pStyle w:val="40"/>
        <w:framePr w:w="2221" w:h="2281" w:hRule="exact" w:wrap="around" w:vAnchor="page" w:hAnchor="page" w:x="6253" w:y="9241"/>
        <w:spacing w:after="0" w:line="216" w:lineRule="exact"/>
        <w:rPr>
          <w:rStyle w:val="41"/>
        </w:rPr>
      </w:pPr>
      <w:r>
        <w:t xml:space="preserve">ИВМиМГ </w:t>
      </w:r>
      <w:r w:rsidR="005E70C2">
        <w:t>–</w:t>
      </w:r>
      <w:r>
        <w:rPr>
          <w:rStyle w:val="41"/>
        </w:rPr>
        <w:t xml:space="preserve"> 30</w:t>
      </w:r>
      <w:r w:rsidR="005E70C2">
        <w:rPr>
          <w:rStyle w:val="41"/>
        </w:rPr>
        <w:br/>
      </w:r>
      <w:r>
        <w:t xml:space="preserve">ИК </w:t>
      </w:r>
      <w:r w:rsidR="005E70C2">
        <w:t>–</w:t>
      </w:r>
      <w:r>
        <w:rPr>
          <w:rStyle w:val="41"/>
        </w:rPr>
        <w:t xml:space="preserve"> 11</w:t>
      </w:r>
    </w:p>
    <w:p w:rsidR="005E70C2" w:rsidRDefault="001B24A8" w:rsidP="005E70C2">
      <w:pPr>
        <w:pStyle w:val="40"/>
        <w:framePr w:w="2221" w:h="2281" w:hRule="exact" w:wrap="around" w:vAnchor="page" w:hAnchor="page" w:x="6253" w:y="9241"/>
        <w:spacing w:after="0" w:line="216" w:lineRule="exact"/>
        <w:rPr>
          <w:rStyle w:val="41"/>
        </w:rPr>
      </w:pPr>
      <w:r>
        <w:t xml:space="preserve">ИМ </w:t>
      </w:r>
      <w:r w:rsidR="005E70C2">
        <w:t>–</w:t>
      </w:r>
      <w:r>
        <w:rPr>
          <w:rStyle w:val="41"/>
        </w:rPr>
        <w:t xml:space="preserve"> 1</w:t>
      </w:r>
      <w:r w:rsidR="005E70C2">
        <w:rPr>
          <w:rStyle w:val="41"/>
        </w:rPr>
        <w:br/>
      </w:r>
      <w:r>
        <w:t xml:space="preserve">ИНХ </w:t>
      </w:r>
      <w:r w:rsidR="005E70C2">
        <w:t>–</w:t>
      </w:r>
      <w:r>
        <w:rPr>
          <w:rStyle w:val="41"/>
        </w:rPr>
        <w:t xml:space="preserve"> 8</w:t>
      </w:r>
      <w:r w:rsidR="005E70C2">
        <w:rPr>
          <w:rStyle w:val="41"/>
        </w:rPr>
        <w:br/>
      </w:r>
      <w:r>
        <w:t xml:space="preserve">ИТПМ </w:t>
      </w:r>
      <w:r w:rsidR="005E70C2">
        <w:t>–</w:t>
      </w:r>
      <w:r>
        <w:rPr>
          <w:rStyle w:val="41"/>
        </w:rPr>
        <w:t xml:space="preserve"> 16</w:t>
      </w:r>
    </w:p>
    <w:p w:rsidR="005E70C2" w:rsidRDefault="001B24A8" w:rsidP="005E70C2">
      <w:pPr>
        <w:pStyle w:val="40"/>
        <w:framePr w:w="2221" w:h="2281" w:hRule="exact" w:wrap="around" w:vAnchor="page" w:hAnchor="page" w:x="6253" w:y="9241"/>
        <w:spacing w:after="0" w:line="216" w:lineRule="exact"/>
        <w:rPr>
          <w:rStyle w:val="41"/>
        </w:rPr>
      </w:pPr>
      <w:r>
        <w:t xml:space="preserve">ИХБФМ </w:t>
      </w:r>
      <w:r w:rsidR="005E70C2">
        <w:t>–</w:t>
      </w:r>
      <w:r>
        <w:rPr>
          <w:rStyle w:val="41"/>
        </w:rPr>
        <w:t xml:space="preserve"> 1</w:t>
      </w:r>
      <w:r w:rsidR="005E70C2">
        <w:rPr>
          <w:rStyle w:val="41"/>
        </w:rPr>
        <w:br/>
      </w:r>
      <w:r>
        <w:t xml:space="preserve">ИХиХТ (Красноярск) - 3 ИЯФ </w:t>
      </w:r>
      <w:r w:rsidR="005E70C2">
        <w:t>–</w:t>
      </w:r>
      <w:r>
        <w:rPr>
          <w:rStyle w:val="41"/>
        </w:rPr>
        <w:t xml:space="preserve"> 4</w:t>
      </w:r>
    </w:p>
    <w:p w:rsidR="00413AF6" w:rsidRDefault="001B24A8" w:rsidP="005E70C2">
      <w:pPr>
        <w:pStyle w:val="40"/>
        <w:framePr w:w="2221" w:h="2281" w:hRule="exact" w:wrap="around" w:vAnchor="page" w:hAnchor="page" w:x="6253" w:y="9241"/>
        <w:spacing w:after="0" w:line="216" w:lineRule="exact"/>
      </w:pPr>
      <w:r>
        <w:t>НГУ -</w:t>
      </w:r>
      <w:r>
        <w:rPr>
          <w:rStyle w:val="41"/>
        </w:rPr>
        <w:t xml:space="preserve"> 3</w:t>
      </w:r>
    </w:p>
    <w:p w:rsidR="00413AF6" w:rsidRDefault="001B24A8" w:rsidP="005E70C2">
      <w:pPr>
        <w:pStyle w:val="40"/>
        <w:framePr w:w="1584" w:h="1958" w:hRule="exact" w:wrap="around" w:vAnchor="page" w:hAnchor="page" w:x="8833" w:y="9277"/>
        <w:spacing w:after="0" w:line="216" w:lineRule="exact"/>
      </w:pPr>
      <w:r>
        <w:t>ИВТ -</w:t>
      </w:r>
      <w:r>
        <w:rPr>
          <w:rStyle w:val="41"/>
        </w:rPr>
        <w:t xml:space="preserve"> 2</w:t>
      </w:r>
    </w:p>
    <w:p w:rsidR="005E70C2" w:rsidRDefault="001B24A8" w:rsidP="005E70C2">
      <w:pPr>
        <w:pStyle w:val="40"/>
        <w:framePr w:w="1584" w:h="1958" w:hRule="exact" w:wrap="around" w:vAnchor="page" w:hAnchor="page" w:x="8833" w:y="9277"/>
        <w:spacing w:after="0" w:line="216" w:lineRule="exact"/>
        <w:rPr>
          <w:rStyle w:val="41"/>
        </w:rPr>
      </w:pPr>
      <w:r>
        <w:t>ИКЗ (Тюмень) -</w:t>
      </w:r>
      <w:r>
        <w:rPr>
          <w:rStyle w:val="41"/>
        </w:rPr>
        <w:t xml:space="preserve"> 2 </w:t>
      </w:r>
      <w:r>
        <w:t xml:space="preserve">ИНГиГ </w:t>
      </w:r>
      <w:r w:rsidR="005E70C2">
        <w:t>–</w:t>
      </w:r>
      <w:r>
        <w:rPr>
          <w:rStyle w:val="41"/>
        </w:rPr>
        <w:t xml:space="preserve"> 4</w:t>
      </w:r>
      <w:r w:rsidR="005E70C2">
        <w:rPr>
          <w:rStyle w:val="41"/>
        </w:rPr>
        <w:br/>
      </w:r>
      <w:r>
        <w:t xml:space="preserve">ИТ </w:t>
      </w:r>
      <w:r w:rsidR="005E70C2">
        <w:t>–</w:t>
      </w:r>
      <w:r>
        <w:rPr>
          <w:rStyle w:val="41"/>
        </w:rPr>
        <w:t xml:space="preserve"> 9</w:t>
      </w:r>
      <w:r w:rsidR="005E70C2">
        <w:rPr>
          <w:rStyle w:val="41"/>
        </w:rPr>
        <w:br/>
      </w:r>
      <w:r>
        <w:t xml:space="preserve">ИФП </w:t>
      </w:r>
      <w:r w:rsidR="005E70C2">
        <w:t>–</w:t>
      </w:r>
      <w:r>
        <w:rPr>
          <w:rStyle w:val="41"/>
        </w:rPr>
        <w:t xml:space="preserve"> 1</w:t>
      </w:r>
    </w:p>
    <w:p w:rsidR="005E70C2" w:rsidRDefault="001B24A8" w:rsidP="005E70C2">
      <w:pPr>
        <w:pStyle w:val="40"/>
        <w:framePr w:w="1584" w:h="1958" w:hRule="exact" w:wrap="around" w:vAnchor="page" w:hAnchor="page" w:x="8833" w:y="9277"/>
        <w:spacing w:after="0" w:line="216" w:lineRule="exact"/>
        <w:rPr>
          <w:rStyle w:val="41"/>
        </w:rPr>
      </w:pPr>
      <w:r>
        <w:t xml:space="preserve">ИХКиГ </w:t>
      </w:r>
      <w:r w:rsidR="005E70C2">
        <w:t>–</w:t>
      </w:r>
      <w:r>
        <w:rPr>
          <w:rStyle w:val="41"/>
        </w:rPr>
        <w:t xml:space="preserve"> 8</w:t>
      </w:r>
      <w:r w:rsidR="005E70C2">
        <w:rPr>
          <w:rStyle w:val="41"/>
        </w:rPr>
        <w:br/>
      </w:r>
      <w:r>
        <w:t xml:space="preserve">ИЦиГ </w:t>
      </w:r>
      <w:r w:rsidR="005E70C2">
        <w:t>–</w:t>
      </w:r>
      <w:r>
        <w:rPr>
          <w:rStyle w:val="41"/>
        </w:rPr>
        <w:t xml:space="preserve"> 11</w:t>
      </w:r>
    </w:p>
    <w:p w:rsidR="005E70C2" w:rsidRDefault="001B24A8" w:rsidP="005E70C2">
      <w:pPr>
        <w:pStyle w:val="40"/>
        <w:framePr w:w="1584" w:h="1958" w:hRule="exact" w:wrap="around" w:vAnchor="page" w:hAnchor="page" w:x="8833" w:y="9277"/>
        <w:spacing w:after="0" w:line="216" w:lineRule="exact"/>
        <w:rPr>
          <w:rStyle w:val="41"/>
        </w:rPr>
      </w:pPr>
      <w:r>
        <w:t>НГТУ</w:t>
      </w:r>
      <w:r>
        <w:t xml:space="preserve"> </w:t>
      </w:r>
      <w:r w:rsidR="005E70C2">
        <w:t>–</w:t>
      </w:r>
      <w:r>
        <w:rPr>
          <w:rStyle w:val="41"/>
        </w:rPr>
        <w:t xml:space="preserve"> 3</w:t>
      </w:r>
    </w:p>
    <w:p w:rsidR="00413AF6" w:rsidRDefault="001B24A8" w:rsidP="005E70C2">
      <w:pPr>
        <w:pStyle w:val="40"/>
        <w:framePr w:w="1584" w:h="1958" w:hRule="exact" w:wrap="around" w:vAnchor="page" w:hAnchor="page" w:x="8833" w:y="9277"/>
        <w:spacing w:after="0" w:line="216" w:lineRule="exact"/>
      </w:pPr>
      <w:r>
        <w:t>Унипро -</w:t>
      </w:r>
      <w:r>
        <w:rPr>
          <w:rStyle w:val="41"/>
        </w:rPr>
        <w:t xml:space="preserve"> 3</w:t>
      </w:r>
    </w:p>
    <w:p w:rsidR="00413AF6" w:rsidRDefault="00413AF6">
      <w:pPr>
        <w:framePr w:w="86" w:h="125" w:hRule="exact" w:wrap="around" w:vAnchor="page" w:hAnchor="page" w:x="8516" w:y="13604"/>
      </w:pPr>
    </w:p>
    <w:p w:rsidR="00413AF6" w:rsidRDefault="00413AF6">
      <w:pPr>
        <w:rPr>
          <w:sz w:val="0"/>
          <w:szCs w:val="0"/>
        </w:rPr>
        <w:sectPr w:rsidR="00413AF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413AF6" w:rsidRDefault="001B24A8">
      <w:pPr>
        <w:pStyle w:val="a4"/>
        <w:framePr w:w="350" w:h="211" w:hRule="exact" w:wrap="around" w:vAnchor="page" w:hAnchor="page" w:x="1124" w:y="1105"/>
      </w:pPr>
      <w:r>
        <w:rPr>
          <w:rStyle w:val="CenturySchoolbook"/>
        </w:rPr>
        <w:lastRenderedPageBreak/>
        <w:t>17</w:t>
      </w:r>
    </w:p>
    <w:p w:rsidR="00413AF6" w:rsidRDefault="001B24A8">
      <w:pPr>
        <w:pStyle w:val="a4"/>
        <w:framePr w:w="3898" w:h="240" w:hRule="exact" w:wrap="around" w:vAnchor="page" w:hAnchor="page" w:x="3606" w:y="1110"/>
      </w:pPr>
      <w:r>
        <w:rPr>
          <w:rStyle w:val="CenturySchoolbook9pt"/>
        </w:rPr>
        <w:t>Отчет подразделений ИВМиМГ СО РАН</w:t>
      </w:r>
    </w:p>
    <w:p w:rsidR="00413AF6" w:rsidRDefault="001B24A8">
      <w:pPr>
        <w:pStyle w:val="a6"/>
        <w:framePr w:w="4133" w:h="254" w:hRule="exact" w:wrap="around" w:vAnchor="page" w:hAnchor="page" w:x="3457" w:y="1724"/>
        <w:spacing w:line="240" w:lineRule="auto"/>
      </w:pPr>
      <w:r>
        <w:t xml:space="preserve">Использование </w:t>
      </w:r>
      <w:r>
        <w:rPr>
          <w:lang w:val="en-US"/>
        </w:rPr>
        <w:t>CPU</w:t>
      </w:r>
      <w:r w:rsidRPr="005E70C2">
        <w:rPr>
          <w:lang w:val="ru-RU"/>
        </w:rPr>
        <w:t xml:space="preserve"> </w:t>
      </w:r>
      <w:r>
        <w:t>в 2010 г. (в часах)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147"/>
        <w:gridCol w:w="1253"/>
        <w:gridCol w:w="1253"/>
        <w:gridCol w:w="754"/>
      </w:tblGrid>
      <w:tr w:rsidR="00413AF6" w:rsidTr="005E70C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80"/>
            </w:pPr>
            <w:r>
              <w:t>Организации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240"/>
            </w:pPr>
            <w:r>
              <w:t>НКС-160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НКС-30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70"/>
              <w:framePr w:w="6629" w:h="6283" w:wrap="around" w:vAnchor="page" w:hAnchor="page" w:x="2214" w:y="2036"/>
              <w:shd w:val="clear" w:color="auto" w:fill="auto"/>
              <w:spacing w:line="240" w:lineRule="auto"/>
              <w:jc w:val="center"/>
            </w:pPr>
            <w:r>
              <w:rPr>
                <w:rStyle w:val="FDB4EFEE-A092-42EA-BD16-31DF311C041D"/>
              </w:rPr>
              <w:t>Сумма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%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ИВМиМГ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59614,90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782145,60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841760,50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28,94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ИК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240"/>
            </w:pPr>
            <w:r>
              <w:t>190276,86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245241,12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435517,98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14,97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НГУ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23667,42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411606,00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435273,42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14,96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ИЯФ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13772,66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353739,84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367512,50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12,63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ИХиХТ(Красн.)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240"/>
            </w:pPr>
            <w:r>
              <w:t>190618,20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103654,08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294272,28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10,12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ИНХ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7408,99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207189,60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214598,59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7,38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ИХКиГ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78573,77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78573,77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2,70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ИТПМ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76114,12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740"/>
            </w:pPr>
            <w:r>
              <w:t>24,24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76138,36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2,62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ИЦиГ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28946,80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40916,88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69863,68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2,40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ИФП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4474,95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60"/>
            </w:pPr>
            <w:r>
              <w:t>12534,48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17009,43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0,58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НГТУ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4772,86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7380,00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12152,86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0,42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ИНГГиГ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9191,15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2902,08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12093,23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0,42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СибНИА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11167,42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11167,42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0,38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СИСТЕМА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40"/>
            </w:pPr>
            <w:r>
              <w:t>561,44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8409,12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8970,56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0,31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ИОХ</w:t>
            </w:r>
          </w:p>
        </w:tc>
        <w:tc>
          <w:tcPr>
            <w:tcW w:w="1147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6907,2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6907,20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0,24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ИХБиФМ</w:t>
            </w:r>
          </w:p>
        </w:tc>
        <w:tc>
          <w:tcPr>
            <w:tcW w:w="1147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6881,04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6881,04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0,24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ИВТ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40"/>
            </w:pPr>
            <w:r>
              <w:t>507,23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6266,88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6774,11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0,23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ИМ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6304,10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6304,10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0,22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rPr>
                <w:lang w:val="en-US"/>
              </w:rPr>
              <w:t>Intel</w:t>
            </w:r>
          </w:p>
        </w:tc>
        <w:tc>
          <w:tcPr>
            <w:tcW w:w="1147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60"/>
            </w:pPr>
            <w:r>
              <w:t>3179,76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3179,76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0,11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СГУТИ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1427,58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1427,58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0,05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ИКЗ (Тюмень)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400"/>
            </w:pPr>
            <w:r>
              <w:t>1257,25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740"/>
            </w:pPr>
            <w:r>
              <w:t>34,32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00"/>
            </w:pPr>
            <w:r>
              <w:t>1291,57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0,04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Ком. НПС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40"/>
            </w:pPr>
            <w:r>
              <w:t>965,36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680"/>
            </w:pPr>
            <w:r>
              <w:t>965,36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0,03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НИИ М МГУ (Москва)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40"/>
            </w:pPr>
            <w:r>
              <w:t>151,86</w:t>
            </w:r>
          </w:p>
        </w:tc>
        <w:tc>
          <w:tcPr>
            <w:tcW w:w="1253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680"/>
            </w:pPr>
            <w:r>
              <w:t>151,86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0,01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ИТ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540"/>
            </w:pPr>
            <w:r>
              <w:t>20,19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740"/>
            </w:pPr>
            <w:r>
              <w:t>6,96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680"/>
            </w:pPr>
            <w:r>
              <w:t>27,15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0,00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ИГД</w:t>
            </w:r>
          </w:p>
        </w:tc>
        <w:tc>
          <w:tcPr>
            <w:tcW w:w="1147" w:type="dxa"/>
            <w:shd w:val="clear" w:color="auto" w:fill="FFFFFF"/>
          </w:tcPr>
          <w:p w:rsidR="00413AF6" w:rsidRDefault="00413AF6">
            <w:pPr>
              <w:framePr w:w="6629" w:h="6283" w:wrap="around" w:vAnchor="page" w:hAnchor="page" w:x="2214" w:y="2036"/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740"/>
            </w:pPr>
            <w:r>
              <w:t>20,64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680"/>
            </w:pPr>
            <w:r>
              <w:t>20,64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300"/>
            </w:pPr>
            <w:r>
              <w:t>0,00</w:t>
            </w:r>
          </w:p>
        </w:tc>
      </w:tr>
      <w:tr w:rsidR="00413AF6" w:rsidTr="005E70C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2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ИТОГО</w:t>
            </w:r>
          </w:p>
        </w:tc>
        <w:tc>
          <w:tcPr>
            <w:tcW w:w="1147" w:type="dxa"/>
            <w:shd w:val="clear" w:color="auto" w:fill="FFFFFF"/>
          </w:tcPr>
          <w:p w:rsidR="00413AF6" w:rsidRDefault="001B24A8">
            <w:pPr>
              <w:pStyle w:val="50"/>
              <w:framePr w:w="6629" w:h="6283" w:wrap="around" w:vAnchor="page" w:hAnchor="page" w:x="2214" w:y="2036"/>
              <w:shd w:val="clear" w:color="auto" w:fill="auto"/>
              <w:spacing w:line="240" w:lineRule="auto"/>
              <w:ind w:left="240"/>
            </w:pPr>
            <w:r>
              <w:t>709795,09</w:t>
            </w:r>
          </w:p>
        </w:tc>
        <w:tc>
          <w:tcPr>
            <w:tcW w:w="1253" w:type="dxa"/>
            <w:shd w:val="clear" w:color="auto" w:fill="FFFFFF"/>
          </w:tcPr>
          <w:p w:rsidR="00413AF6" w:rsidRDefault="001B24A8">
            <w:pPr>
              <w:pStyle w:val="50"/>
              <w:framePr w:w="6629" w:h="6283" w:wrap="around" w:vAnchor="page" w:hAnchor="page" w:x="2214" w:y="2036"/>
              <w:shd w:val="clear" w:color="auto" w:fill="auto"/>
              <w:spacing w:line="240" w:lineRule="auto"/>
              <w:ind w:left="120"/>
            </w:pPr>
            <w:r>
              <w:t>2199039,84</w:t>
            </w:r>
          </w:p>
        </w:tc>
        <w:tc>
          <w:tcPr>
            <w:tcW w:w="1253" w:type="dxa"/>
            <w:shd w:val="clear" w:color="auto" w:fill="FFFFFF"/>
          </w:tcPr>
          <w:p w:rsidR="00413AF6" w:rsidRPr="005E70C2" w:rsidRDefault="001B24A8">
            <w:pPr>
              <w:pStyle w:val="50"/>
              <w:framePr w:w="6629" w:h="6283" w:wrap="around" w:vAnchor="page" w:hAnchor="page" w:x="2214" w:y="2036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5E70C2">
              <w:rPr>
                <w:b/>
              </w:rPr>
              <w:t>2908834,93</w:t>
            </w:r>
          </w:p>
        </w:tc>
        <w:tc>
          <w:tcPr>
            <w:tcW w:w="754" w:type="dxa"/>
            <w:shd w:val="clear" w:color="auto" w:fill="FFFFFF"/>
          </w:tcPr>
          <w:p w:rsidR="00413AF6" w:rsidRDefault="001B24A8">
            <w:pPr>
              <w:pStyle w:val="40"/>
              <w:framePr w:w="6629" w:h="6283" w:wrap="around" w:vAnchor="page" w:hAnchor="page" w:x="2214" w:y="2036"/>
              <w:shd w:val="clear" w:color="auto" w:fill="auto"/>
              <w:spacing w:after="0" w:line="240" w:lineRule="auto"/>
              <w:ind w:left="140"/>
            </w:pPr>
            <w:r>
              <w:t>100,00</w:t>
            </w:r>
          </w:p>
        </w:tc>
      </w:tr>
    </w:tbl>
    <w:p w:rsidR="00413AF6" w:rsidRDefault="00413AF6">
      <w:pPr>
        <w:rPr>
          <w:sz w:val="0"/>
          <w:szCs w:val="0"/>
        </w:rPr>
      </w:pPr>
    </w:p>
    <w:sectPr w:rsidR="00413AF6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A8" w:rsidRDefault="001B24A8">
      <w:r>
        <w:separator/>
      </w:r>
    </w:p>
  </w:endnote>
  <w:endnote w:type="continuationSeparator" w:id="0">
    <w:p w:rsidR="001B24A8" w:rsidRDefault="001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A8" w:rsidRDefault="001B24A8"/>
  </w:footnote>
  <w:footnote w:type="continuationSeparator" w:id="0">
    <w:p w:rsidR="001B24A8" w:rsidRDefault="001B2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2220"/>
    <w:multiLevelType w:val="hybridMultilevel"/>
    <w:tmpl w:val="B29EC698"/>
    <w:lvl w:ilvl="0" w:tplc="5AB64D8A">
      <w:start w:val="1"/>
      <w:numFmt w:val="decimal"/>
      <w:lvlText w:val="[%1]"/>
      <w:lvlJc w:val="left"/>
      <w:rPr>
        <w:sz w:val="0"/>
        <w:szCs w:val="0"/>
      </w:rPr>
    </w:lvl>
    <w:lvl w:ilvl="1" w:tplc="1068C7B8">
      <w:start w:val="1"/>
      <w:numFmt w:val="decimal"/>
      <w:lvlText w:val="[%2]"/>
      <w:lvlJc w:val="left"/>
      <w:rPr>
        <w:sz w:val="16"/>
        <w:szCs w:val="16"/>
      </w:rPr>
    </w:lvl>
    <w:lvl w:ilvl="2" w:tplc="68E69D52">
      <w:numFmt w:val="decimal"/>
      <w:lvlText w:val=""/>
      <w:lvlJc w:val="left"/>
    </w:lvl>
    <w:lvl w:ilvl="3" w:tplc="C23AD998">
      <w:numFmt w:val="decimal"/>
      <w:lvlText w:val=""/>
      <w:lvlJc w:val="left"/>
    </w:lvl>
    <w:lvl w:ilvl="4" w:tplc="24BA814C">
      <w:numFmt w:val="decimal"/>
      <w:lvlText w:val=""/>
      <w:lvlJc w:val="left"/>
    </w:lvl>
    <w:lvl w:ilvl="5" w:tplc="B7688B76">
      <w:numFmt w:val="decimal"/>
      <w:lvlText w:val=""/>
      <w:lvlJc w:val="left"/>
    </w:lvl>
    <w:lvl w:ilvl="6" w:tplc="C22A44C6">
      <w:numFmt w:val="decimal"/>
      <w:lvlText w:val=""/>
      <w:lvlJc w:val="left"/>
    </w:lvl>
    <w:lvl w:ilvl="7" w:tplc="BD366DE4">
      <w:numFmt w:val="decimal"/>
      <w:lvlText w:val=""/>
      <w:lvlJc w:val="left"/>
    </w:lvl>
    <w:lvl w:ilvl="8" w:tplc="2EE6A3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3AF6"/>
    <w:rsid w:val="001B24A8"/>
    <w:rsid w:val="00413AF6"/>
    <w:rsid w:val="005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AE5A-C50F-488B-BAAA-A56273DE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">
    <w:name w:val="Колонтитул + Century Schoolbook"/>
    <w:basedOn w:val="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CenturySchoolbook9pt">
    <w:name w:val="Колонтитул + Century Schoolbook;9 pt;Курсив"/>
    <w:basedOn w:val="a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</w:rPr>
  </w:style>
  <w:style w:type="character" w:customStyle="1" w:styleId="1">
    <w:name w:val="Заголовок №1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Заголовок №1 + Полужирный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(4)"/>
    <w:basedOn w:val="a0"/>
    <w:link w:val="2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Заголовок №2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Заголовок №2 +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1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">
    <w:name w:val="Основной текст (2)"/>
    <w:basedOn w:val="a0"/>
    <w:link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6">
    <w:name w:val="Основной текст (2) + Полужирный"/>
    <w:basedOn w:val="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</w:rPr>
  </w:style>
  <w:style w:type="character" w:customStyle="1" w:styleId="3">
    <w:name w:val="Основной текст (3)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Подпись к таблице"/>
    <w:basedOn w:val="a0"/>
    <w:link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"/>
    <w:basedOn w:val="a0"/>
    <w:link w:val="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FDB4EFEE-A092-42EA-BD16-31DF311C041D">
    <w:name w:val="{FDB4EFEE-A092-42EA-BD16-31DF311C041D}"/>
    <w:basedOn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"/>
    <w:basedOn w:val="a0"/>
    <w:link w:val="1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before="240" w:after="300" w:line="0" w:lineRule="atLeast"/>
      <w:jc w:val="center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240" w:line="0" w:lineRule="atLeast"/>
      <w:jc w:val="center"/>
      <w:outlineLvl w:val="1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2">
    <w:name w:val="Основной текст2"/>
    <w:basedOn w:val="a"/>
    <w:link w:val="12"/>
    <w:pPr>
      <w:shd w:val="clear" w:color="auto" w:fill="FFFFFF"/>
      <w:spacing w:before="240" w:line="259" w:lineRule="exact"/>
      <w:ind w:firstLine="3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5">
    <w:name w:val="Основной текст (2)"/>
    <w:basedOn w:val="a"/>
    <w:link w:val="23"/>
    <w:pPr>
      <w:shd w:val="clear" w:color="auto" w:fill="FFFFFF"/>
      <w:spacing w:before="60" w:after="24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9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235" w:lineRule="exact"/>
      <w:ind w:hanging="300"/>
      <w:jc w:val="both"/>
    </w:pPr>
    <w:rPr>
      <w:rFonts w:ascii="Century Schoolbook" w:eastAsia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2015-08-19T07:18:00Z</dcterms:created>
  <dcterms:modified xsi:type="dcterms:W3CDTF">2015-08-19T07:24:00Z</dcterms:modified>
</cp:coreProperties>
</file>