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3D70" w14:textId="12E2D066" w:rsidR="00F201CC" w:rsidRDefault="00F201CC">
      <w:pP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Разработка новых вычислительных алгоритмов линейной алгебры, решения некоторых задач электромагнетизма, решения обратной задачи теплопереноса</w:t>
      </w:r>
    </w:p>
    <w:p w14:paraId="1A6547D7" w14:textId="77777777" w:rsidR="00F201CC" w:rsidRDefault="00F201CC" w:rsidP="00F201CC">
      <w:pPr>
        <w:pStyle w:val="a3"/>
        <w:spacing w:line="240" w:lineRule="auto"/>
        <w:ind w:firstLine="567"/>
      </w:pPr>
      <w:bookmarkStart w:id="0" w:name="_Hlk153124372"/>
      <w:r>
        <w:rPr>
          <w:rFonts w:eastAsia="Times New Roman"/>
          <w:lang w:eastAsia="ru-RU"/>
        </w:rPr>
        <w:t xml:space="preserve">Рассмотрена концепция и научно-организационные проблемы создания интегрированного программного обеспечения нового поколения, предназначенного для предсказательного моделирования в машиностроении, энергетике, материаловедении, биологии, медицине, экономике, природопользовании, экологии, социологии и др. </w:t>
      </w:r>
      <w:bookmarkEnd w:id="0"/>
      <w:r>
        <w:rPr>
          <w:rFonts w:eastAsia="Times New Roman"/>
          <w:lang w:eastAsia="ru-RU"/>
        </w:rPr>
        <w:t xml:space="preserve">Математические постановки включают в себя междисциплинарные прямые и обратные экстремально ресурсоёмкие задачи, решение которых осуществляется с помощью вычислительных методов и технологий масштабируемого распараллеливания путём гибридного программирования на гетерогенных суперкомпьютерах с распределённой и иерархической общей памятью. Архитектура инструментального вычислительного окружения предусматривает автоматизированное расширение состава реализуемых моделей и применяемых алгоритмов, адаптацию к эволюции суперкомпьютерных платформ, дружественные интерфейсы и активное </w:t>
      </w:r>
      <w:proofErr w:type="spellStart"/>
      <w:r>
        <w:rPr>
          <w:rFonts w:eastAsia="Times New Roman"/>
          <w:lang w:eastAsia="ru-RU"/>
        </w:rPr>
        <w:t>переиспользование</w:t>
      </w:r>
      <w:proofErr w:type="spellEnd"/>
      <w:r>
        <w:rPr>
          <w:rFonts w:eastAsia="Times New Roman"/>
          <w:lang w:eastAsia="ru-RU"/>
        </w:rPr>
        <w:t xml:space="preserve"> внешних программных продуктов, согласованное участие различных групп разработчиков, что в совокупности должно обеспечить длительный жизненный цикл и востребованность создаваемой экосистемы широким кругом пользователей из различных профессиональных областей.</w:t>
      </w:r>
    </w:p>
    <w:p w14:paraId="3A81B7C8" w14:textId="77777777" w:rsidR="00F201CC" w:rsidRDefault="00F201CC" w:rsidP="00F201CC">
      <w:pPr>
        <w:pStyle w:val="a3"/>
        <w:spacing w:line="240" w:lineRule="auto"/>
        <w:ind w:firstLine="567"/>
      </w:pPr>
      <w:r>
        <w:rPr>
          <w:rFonts w:eastAsia="Times New Roman"/>
          <w:lang w:eastAsia="ru-RU"/>
        </w:rPr>
        <w:t xml:space="preserve">В 2023 году были предложены численные алгоритмы для расчета потенциала электрического поля вблизи криволинейных границ в задачах сильноточной электроники. Рассматривались двумерные плоские или осесимметричные задачи соответственно в декартовой </w:t>
      </w:r>
      <w:r>
        <w:rPr>
          <w:rFonts w:eastAsia="Times New Roman"/>
          <w:sz w:val="28"/>
          <w:szCs w:val="28"/>
          <w:lang w:eastAsia="ru-RU"/>
        </w:rPr>
        <w:t>(</w:t>
      </w:r>
      <w:proofErr w:type="spellStart"/>
      <w:proofErr w:type="gramStart"/>
      <w:r>
        <w:rPr>
          <w:rFonts w:eastAsia="Times New Roman"/>
          <w:i/>
          <w:sz w:val="28"/>
          <w:szCs w:val="28"/>
          <w:lang w:eastAsia="ru-RU"/>
        </w:rPr>
        <w:t>x,y</w:t>
      </w:r>
      <w:proofErr w:type="spellEnd"/>
      <w:proofErr w:type="gramEnd"/>
      <w:r>
        <w:rPr>
          <w:rFonts w:eastAsia="Times New Roman"/>
          <w:sz w:val="28"/>
          <w:szCs w:val="28"/>
          <w:lang w:eastAsia="ru-RU"/>
        </w:rPr>
        <w:t>)</w:t>
      </w:r>
      <w:r>
        <w:rPr>
          <w:rFonts w:eastAsia="Times New Roman"/>
          <w:lang w:eastAsia="ru-RU"/>
        </w:rPr>
        <w:t xml:space="preserve"> или  цилиндрической </w:t>
      </w:r>
      <w:r>
        <w:rPr>
          <w:rFonts w:eastAsia="Times New Roman"/>
          <w:sz w:val="28"/>
          <w:szCs w:val="28"/>
          <w:lang w:eastAsia="ru-RU"/>
        </w:rPr>
        <w:t>(</w:t>
      </w:r>
      <w:proofErr w:type="spellStart"/>
      <w:r>
        <w:rPr>
          <w:rFonts w:eastAsia="Times New Roman"/>
          <w:i/>
          <w:sz w:val="28"/>
          <w:szCs w:val="28"/>
          <w:lang w:eastAsia="ru-RU"/>
        </w:rPr>
        <w:t>r,z</w:t>
      </w:r>
      <w:proofErr w:type="spellEnd"/>
      <w:r>
        <w:rPr>
          <w:rFonts w:eastAsia="Times New Roman"/>
          <w:sz w:val="28"/>
          <w:szCs w:val="28"/>
          <w:lang w:eastAsia="ru-RU"/>
        </w:rPr>
        <w:t>)</w:t>
      </w:r>
      <w:r>
        <w:rPr>
          <w:rFonts w:eastAsia="Times New Roman"/>
          <w:lang w:eastAsia="ru-RU"/>
        </w:rPr>
        <w:t xml:space="preserve"> системах  координат. При этом использовалась </w:t>
      </w:r>
      <w:bookmarkStart w:id="1" w:name="_Hlk153220920"/>
      <w:proofErr w:type="spellStart"/>
      <w:r>
        <w:rPr>
          <w:rFonts w:eastAsia="Times New Roman"/>
          <w:lang w:eastAsia="ru-RU"/>
        </w:rPr>
        <w:t>квазиструктурированная</w:t>
      </w:r>
      <w:proofErr w:type="spellEnd"/>
      <w:r>
        <w:rPr>
          <w:rFonts w:eastAsia="Times New Roman"/>
          <w:lang w:eastAsia="ru-RU"/>
        </w:rPr>
        <w:t xml:space="preserve"> </w:t>
      </w:r>
      <w:proofErr w:type="spellStart"/>
      <w:r>
        <w:rPr>
          <w:rFonts w:eastAsia="Times New Roman"/>
          <w:lang w:eastAsia="ru-RU"/>
        </w:rPr>
        <w:t>локальномодифицированная</w:t>
      </w:r>
      <w:proofErr w:type="spellEnd"/>
      <w:r>
        <w:rPr>
          <w:rFonts w:eastAsia="Times New Roman"/>
          <w:lang w:eastAsia="ru-RU"/>
        </w:rPr>
        <w:t xml:space="preserve"> сетка</w:t>
      </w:r>
      <w:bookmarkEnd w:id="1"/>
      <w:r>
        <w:rPr>
          <w:rFonts w:eastAsia="Times New Roman"/>
          <w:lang w:eastAsia="ru-RU"/>
        </w:rPr>
        <w:t xml:space="preserve"> (Рис. 1):  </w:t>
      </w:r>
    </w:p>
    <w:p w14:paraId="1D7441BC" w14:textId="77777777" w:rsidR="00F201CC" w:rsidRDefault="00F201CC" w:rsidP="00F201CC">
      <w:pPr>
        <w:pStyle w:val="a3"/>
        <w:spacing w:line="240" w:lineRule="auto"/>
        <w:ind w:firstLine="567"/>
        <w:rPr>
          <w:rFonts w:eastAsia="Times New Roman"/>
          <w:lang w:eastAsia="ru-RU"/>
        </w:rPr>
      </w:pPr>
    </w:p>
    <w:p w14:paraId="100A871E" w14:textId="77777777" w:rsidR="00F201CC" w:rsidRDefault="00F201CC" w:rsidP="00F201CC">
      <w:pPr>
        <w:pStyle w:val="a3"/>
        <w:spacing w:line="240" w:lineRule="auto"/>
        <w:ind w:firstLine="0"/>
        <w:jc w:val="center"/>
      </w:pPr>
      <w:r>
        <w:rPr>
          <w:noProof/>
        </w:rPr>
        <w:drawing>
          <wp:inline distT="0" distB="0" distL="0" distR="0" wp14:anchorId="7B9CADD2" wp14:editId="44C54D5F">
            <wp:extent cx="3045460" cy="2876550"/>
            <wp:effectExtent l="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pic:cNvPicPr>
                      <a:picLocks noChangeAspect="1" noChangeArrowheads="1"/>
                    </pic:cNvPicPr>
                  </pic:nvPicPr>
                  <pic:blipFill>
                    <a:blip r:embed="rId4"/>
                    <a:stretch>
                      <a:fillRect/>
                    </a:stretch>
                  </pic:blipFill>
                  <pic:spPr bwMode="auto">
                    <a:xfrm>
                      <a:off x="0" y="0"/>
                      <a:ext cx="3045460" cy="2876550"/>
                    </a:xfrm>
                    <a:prstGeom prst="rect">
                      <a:avLst/>
                    </a:prstGeom>
                  </pic:spPr>
                </pic:pic>
              </a:graphicData>
            </a:graphic>
          </wp:inline>
        </w:drawing>
      </w:r>
    </w:p>
    <w:p w14:paraId="7EEE37C0" w14:textId="77777777" w:rsidR="00F201CC" w:rsidRDefault="00F201CC" w:rsidP="00F201CC">
      <w:pPr>
        <w:pStyle w:val="a3"/>
        <w:spacing w:after="120" w:line="240" w:lineRule="auto"/>
        <w:ind w:firstLine="0"/>
        <w:jc w:val="center"/>
      </w:pPr>
      <w:bookmarkStart w:id="2" w:name="_Hlk153224186"/>
      <w:bookmarkEnd w:id="2"/>
      <w:r>
        <w:rPr>
          <w:rFonts w:eastAsia="Times New Roman"/>
          <w:sz w:val="20"/>
          <w:szCs w:val="20"/>
          <w:lang w:eastAsia="ru-RU"/>
        </w:rPr>
        <w:t xml:space="preserve">Рис. 1. </w:t>
      </w:r>
      <w:proofErr w:type="spellStart"/>
      <w:r>
        <w:rPr>
          <w:rFonts w:eastAsia="Times New Roman"/>
          <w:sz w:val="20"/>
          <w:szCs w:val="20"/>
          <w:lang w:eastAsia="ru-RU"/>
        </w:rPr>
        <w:t>Квазиструктурированная</w:t>
      </w:r>
      <w:proofErr w:type="spellEnd"/>
      <w:r>
        <w:rPr>
          <w:rFonts w:eastAsia="Times New Roman"/>
          <w:sz w:val="20"/>
          <w:szCs w:val="20"/>
          <w:lang w:eastAsia="ru-RU"/>
        </w:rPr>
        <w:t xml:space="preserve"> </w:t>
      </w:r>
      <w:proofErr w:type="spellStart"/>
      <w:r>
        <w:rPr>
          <w:rFonts w:eastAsia="Times New Roman"/>
          <w:sz w:val="20"/>
          <w:szCs w:val="20"/>
          <w:lang w:eastAsia="ru-RU"/>
        </w:rPr>
        <w:t>локальномодифицированная</w:t>
      </w:r>
      <w:proofErr w:type="spellEnd"/>
      <w:r>
        <w:rPr>
          <w:rFonts w:eastAsia="Times New Roman"/>
          <w:sz w:val="20"/>
          <w:szCs w:val="20"/>
          <w:lang w:eastAsia="ru-RU"/>
        </w:rPr>
        <w:t xml:space="preserve"> сетка</w:t>
      </w:r>
      <w:r>
        <w:rPr>
          <w:rFonts w:eastAsia="Times New Roman"/>
          <w:lang w:eastAsia="ru-RU"/>
        </w:rPr>
        <w:t xml:space="preserve">. </w:t>
      </w:r>
    </w:p>
    <w:p w14:paraId="13DDC740" w14:textId="77777777" w:rsidR="00F201CC" w:rsidRDefault="00F201CC" w:rsidP="00F201CC">
      <w:pPr>
        <w:pStyle w:val="a3"/>
        <w:spacing w:after="120" w:line="240" w:lineRule="auto"/>
        <w:ind w:firstLine="0"/>
      </w:pPr>
      <w:bookmarkStart w:id="3" w:name="_Hlk1532241861"/>
      <w:bookmarkStart w:id="4" w:name="_Hlk153226525"/>
      <w:bookmarkEnd w:id="3"/>
      <w:r>
        <w:rPr>
          <w:rFonts w:eastAsia="Times New Roman"/>
          <w:lang w:eastAsia="ru-RU"/>
        </w:rPr>
        <w:t>Изучалась погрешность метода наименьших квадратов (</w:t>
      </w:r>
      <w:r>
        <w:rPr>
          <w:rFonts w:eastAsia="Times New Roman"/>
          <w:lang w:val="en-US" w:eastAsia="ru-RU"/>
        </w:rPr>
        <w:t>MS</w:t>
      </w:r>
      <w:r>
        <w:rPr>
          <w:rFonts w:eastAsia="Times New Roman"/>
          <w:lang w:eastAsia="ru-RU"/>
        </w:rPr>
        <w:t>) и метода специального приближения с учетом граничного условия (</w:t>
      </w:r>
      <w:r>
        <w:rPr>
          <w:rFonts w:eastAsia="Times New Roman"/>
          <w:lang w:val="en-US" w:eastAsia="ru-RU"/>
        </w:rPr>
        <w:t>IC</w:t>
      </w:r>
      <w:r>
        <w:rPr>
          <w:rFonts w:eastAsia="Times New Roman"/>
          <w:lang w:eastAsia="ru-RU"/>
        </w:rPr>
        <w:t xml:space="preserve">). </w:t>
      </w:r>
      <w:bookmarkEnd w:id="4"/>
      <w:r>
        <w:rPr>
          <w:rFonts w:eastAsia="Times New Roman"/>
          <w:lang w:eastAsia="ru-RU"/>
        </w:rPr>
        <w:t xml:space="preserve">Рассматривался набор сеток  </w:t>
      </w:r>
      <m:oMath>
        <m:r>
          <w:rPr>
            <w:rFonts w:ascii="Cambria Math" w:hAnsi="Cambria Math"/>
          </w:rPr>
          <m:t>ω</m:t>
        </m:r>
      </m:oMath>
      <w:r>
        <w:rPr>
          <w:rFonts w:eastAsia="Times New Roman"/>
          <w:sz w:val="28"/>
          <w:szCs w:val="28"/>
        </w:rPr>
        <w:t xml:space="preserve"> </w:t>
      </w:r>
      <w:r>
        <w:rPr>
          <w:rFonts w:eastAsia="Times New Roman"/>
        </w:rPr>
        <w:t xml:space="preserve">с количеством узлов </w:t>
      </w:r>
      <w:r>
        <w:t xml:space="preserve">16×16, 32×32, 64×64. В таблице 3 приведены результаты вычислений </w:t>
      </w:r>
    </w:p>
    <w:tbl>
      <w:tblPr>
        <w:tblW w:w="8647" w:type="dxa"/>
        <w:jc w:val="center"/>
        <w:tblLayout w:type="fixed"/>
        <w:tblLook w:val="04A0" w:firstRow="1" w:lastRow="0" w:firstColumn="1" w:lastColumn="0" w:noHBand="0" w:noVBand="1"/>
      </w:tblPr>
      <w:tblGrid>
        <w:gridCol w:w="838"/>
        <w:gridCol w:w="1290"/>
        <w:gridCol w:w="1417"/>
        <w:gridCol w:w="1417"/>
        <w:gridCol w:w="1417"/>
        <w:gridCol w:w="1418"/>
        <w:gridCol w:w="850"/>
      </w:tblGrid>
      <w:tr w:rsidR="00F201CC" w14:paraId="71B3D18F" w14:textId="77777777" w:rsidTr="009C35F8">
        <w:trPr>
          <w:jc w:val="center"/>
        </w:trPr>
        <w:tc>
          <w:tcPr>
            <w:tcW w:w="837" w:type="dxa"/>
          </w:tcPr>
          <w:p w14:paraId="3E319786" w14:textId="77777777" w:rsidR="00F201CC" w:rsidRDefault="00F201CC" w:rsidP="009C35F8">
            <w:pPr>
              <w:widowControl w:val="0"/>
              <w:rPr>
                <w:rFonts w:eastAsia="Calibri"/>
              </w:rPr>
            </w:pPr>
            <m:oMath>
              <m:r>
                <w:rPr>
                  <w:rFonts w:ascii="Cambria Math" w:hAnsi="Cambria Math"/>
                </w:rPr>
                <m:t>ω</m:t>
              </m:r>
            </m:oMath>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d</w:t>
            </w:r>
          </w:p>
        </w:tc>
        <w:tc>
          <w:tcPr>
            <w:tcW w:w="1290" w:type="dxa"/>
          </w:tcPr>
          <w:p w14:paraId="0F8ECF24" w14:textId="77777777" w:rsidR="00F201CC" w:rsidRDefault="00F201CC" w:rsidP="009C35F8">
            <w:pPr>
              <w:widowControl w:val="0"/>
              <w:jc w:val="center"/>
              <w:rPr>
                <w:rFonts w:eastAsia="Calibri"/>
              </w:rPr>
            </w:pPr>
            <w:r>
              <w:rPr>
                <w:rFonts w:ascii="Times New Roman" w:eastAsia="Calibri" w:hAnsi="Times New Roman" w:cs="Times New Roman"/>
                <w:sz w:val="24"/>
                <w:szCs w:val="24"/>
                <w:lang w:val="en-US"/>
              </w:rPr>
              <w:t>2</w:t>
            </w:r>
            <w:r>
              <w:rPr>
                <w:rFonts w:ascii="Times New Roman" w:eastAsia="Calibri" w:hAnsi="Times New Roman" w:cs="Times New Roman"/>
                <w:i/>
                <w:sz w:val="24"/>
                <w:szCs w:val="24"/>
                <w:lang w:val="en-US"/>
              </w:rPr>
              <w:t>h</w:t>
            </w:r>
          </w:p>
        </w:tc>
        <w:tc>
          <w:tcPr>
            <w:tcW w:w="1417" w:type="dxa"/>
          </w:tcPr>
          <w:p w14:paraId="74AD5B49" w14:textId="77777777" w:rsidR="00F201CC" w:rsidRDefault="00F201CC" w:rsidP="009C35F8">
            <w:pPr>
              <w:widowControl w:val="0"/>
              <w:jc w:val="center"/>
            </w:pPr>
            <w:r>
              <w:rPr>
                <w:rFonts w:ascii="Times New Roman" w:eastAsia="Calibri" w:hAnsi="Times New Roman" w:cs="Times New Roman"/>
                <w:i/>
                <w:sz w:val="24"/>
                <w:szCs w:val="24"/>
                <w:lang w:val="en-US"/>
              </w:rPr>
              <w:t>h</w:t>
            </w:r>
          </w:p>
        </w:tc>
        <w:tc>
          <w:tcPr>
            <w:tcW w:w="1417" w:type="dxa"/>
          </w:tcPr>
          <w:p w14:paraId="3993FD1A" w14:textId="77777777" w:rsidR="00F201CC" w:rsidRDefault="00F201CC" w:rsidP="009C35F8">
            <w:pPr>
              <w:widowControl w:val="0"/>
              <w:jc w:val="center"/>
              <w:rPr>
                <w:rFonts w:eastAsia="Calibri"/>
              </w:rPr>
            </w:pPr>
            <w:r>
              <w:rPr>
                <w:rFonts w:ascii="Times New Roman" w:eastAsia="Calibri" w:hAnsi="Times New Roman" w:cs="Times New Roman"/>
                <w:i/>
                <w:sz w:val="24"/>
                <w:szCs w:val="24"/>
                <w:lang w:val="en-US"/>
              </w:rPr>
              <w:t>h</w:t>
            </w:r>
            <w:r>
              <w:rPr>
                <w:rFonts w:ascii="Times New Roman" w:eastAsia="Calibri" w:hAnsi="Times New Roman" w:cs="Times New Roman"/>
                <w:sz w:val="24"/>
                <w:szCs w:val="24"/>
                <w:lang w:val="en-US"/>
              </w:rPr>
              <w:t>/2</w:t>
            </w:r>
          </w:p>
        </w:tc>
        <w:tc>
          <w:tcPr>
            <w:tcW w:w="1417" w:type="dxa"/>
          </w:tcPr>
          <w:p w14:paraId="7D619267" w14:textId="77777777" w:rsidR="00F201CC" w:rsidRDefault="00F201CC" w:rsidP="009C35F8">
            <w:pPr>
              <w:widowControl w:val="0"/>
              <w:jc w:val="center"/>
              <w:rPr>
                <w:rFonts w:eastAsia="Calibri"/>
              </w:rPr>
            </w:pPr>
            <w:r>
              <w:rPr>
                <w:rFonts w:ascii="Times New Roman" w:eastAsia="Calibri" w:hAnsi="Times New Roman" w:cs="Times New Roman"/>
                <w:i/>
                <w:sz w:val="24"/>
                <w:szCs w:val="24"/>
                <w:lang w:val="en-US"/>
              </w:rPr>
              <w:t>h</w:t>
            </w:r>
            <w:r>
              <w:rPr>
                <w:rFonts w:ascii="Times New Roman" w:eastAsia="Calibri" w:hAnsi="Times New Roman" w:cs="Times New Roman"/>
                <w:sz w:val="24"/>
                <w:szCs w:val="24"/>
                <w:lang w:val="en-US"/>
              </w:rPr>
              <w:t>/4</w:t>
            </w:r>
          </w:p>
        </w:tc>
        <w:tc>
          <w:tcPr>
            <w:tcW w:w="1418" w:type="dxa"/>
          </w:tcPr>
          <w:p w14:paraId="233A6FF5" w14:textId="77777777" w:rsidR="00F201CC" w:rsidRDefault="00F201CC" w:rsidP="009C35F8">
            <w:pPr>
              <w:widowControl w:val="0"/>
              <w:jc w:val="center"/>
              <w:rPr>
                <w:rFonts w:eastAsia="Calibri"/>
              </w:rPr>
            </w:pPr>
            <w:r>
              <w:rPr>
                <w:rFonts w:ascii="Times New Roman" w:eastAsia="Calibri" w:hAnsi="Times New Roman" w:cs="Times New Roman"/>
                <w:i/>
                <w:sz w:val="24"/>
                <w:szCs w:val="24"/>
                <w:lang w:val="en-US"/>
              </w:rPr>
              <w:t>h/</w:t>
            </w:r>
            <w:r>
              <w:rPr>
                <w:rFonts w:ascii="Times New Roman" w:eastAsia="Calibri" w:hAnsi="Times New Roman" w:cs="Times New Roman"/>
                <w:sz w:val="24"/>
                <w:szCs w:val="24"/>
                <w:lang w:val="en-US"/>
              </w:rPr>
              <w:t>8</w:t>
            </w:r>
          </w:p>
        </w:tc>
        <w:tc>
          <w:tcPr>
            <w:tcW w:w="850" w:type="dxa"/>
          </w:tcPr>
          <w:p w14:paraId="13E5CB45" w14:textId="77777777" w:rsidR="00F201CC" w:rsidRDefault="00F201CC" w:rsidP="009C35F8">
            <w:pPr>
              <w:widowControl w:val="0"/>
            </w:pPr>
            <w:r>
              <w:rPr>
                <w:rFonts w:ascii="Times New Roman" w:eastAsia="Calibri" w:hAnsi="Times New Roman" w:cs="Times New Roman"/>
                <w:sz w:val="24"/>
                <w:szCs w:val="24"/>
              </w:rPr>
              <w:t>метод</w:t>
            </w:r>
          </w:p>
        </w:tc>
      </w:tr>
      <w:tr w:rsidR="00F201CC" w14:paraId="0EF26D26" w14:textId="77777777" w:rsidTr="009C35F8">
        <w:trPr>
          <w:jc w:val="center"/>
        </w:trPr>
        <w:tc>
          <w:tcPr>
            <w:tcW w:w="837" w:type="dxa"/>
            <w:vMerge w:val="restart"/>
          </w:tcPr>
          <w:p w14:paraId="1A7B3D55" w14:textId="77777777" w:rsidR="00F201CC" w:rsidRDefault="00F201CC" w:rsidP="009C35F8">
            <w:pPr>
              <w:widowControl w:val="0"/>
              <w:rPr>
                <w:rFonts w:eastAsia="Calibri"/>
              </w:rPr>
            </w:pPr>
            <w:r>
              <w:rPr>
                <w:rFonts w:ascii="Times New Roman" w:eastAsia="Calibri" w:hAnsi="Times New Roman" w:cs="Times New Roman"/>
                <w:sz w:val="24"/>
                <w:szCs w:val="24"/>
                <w:lang w:val="en-US"/>
              </w:rPr>
              <w:t>16×</w:t>
            </w:r>
            <w:r>
              <w:rPr>
                <w:rFonts w:ascii="Times New Roman" w:eastAsia="Calibri" w:hAnsi="Times New Roman" w:cs="Times New Roman"/>
                <w:sz w:val="24"/>
                <w:szCs w:val="24"/>
              </w:rPr>
              <w:t>16</w:t>
            </w:r>
          </w:p>
        </w:tc>
        <w:tc>
          <w:tcPr>
            <w:tcW w:w="1290" w:type="dxa"/>
            <w:vAlign w:val="center"/>
          </w:tcPr>
          <w:p w14:paraId="04ECAC64" w14:textId="77777777" w:rsidR="00F201CC" w:rsidRDefault="00F201CC" w:rsidP="009C35F8">
            <w:pPr>
              <w:widowControl w:val="0"/>
              <w:jc w:val="center"/>
            </w:pPr>
            <w:r>
              <w:rPr>
                <w:rFonts w:ascii="Times New Roman" w:eastAsia="Calibri" w:hAnsi="Times New Roman" w:cs="Times New Roman"/>
                <w:sz w:val="24"/>
                <w:szCs w:val="24"/>
              </w:rPr>
              <w:t>3.67E-04</w:t>
            </w:r>
          </w:p>
        </w:tc>
        <w:tc>
          <w:tcPr>
            <w:tcW w:w="1417" w:type="dxa"/>
            <w:vAlign w:val="center"/>
          </w:tcPr>
          <w:p w14:paraId="069E28E3" w14:textId="77777777" w:rsidR="00F201CC" w:rsidRDefault="00F201CC" w:rsidP="009C35F8">
            <w:pPr>
              <w:widowControl w:val="0"/>
              <w:jc w:val="center"/>
            </w:pPr>
            <w:r>
              <w:rPr>
                <w:rFonts w:ascii="Times New Roman" w:eastAsia="Calibri" w:hAnsi="Times New Roman" w:cs="Times New Roman"/>
                <w:sz w:val="24"/>
                <w:szCs w:val="24"/>
              </w:rPr>
              <w:t>1.69E-04</w:t>
            </w:r>
          </w:p>
        </w:tc>
        <w:tc>
          <w:tcPr>
            <w:tcW w:w="1417" w:type="dxa"/>
            <w:vAlign w:val="center"/>
          </w:tcPr>
          <w:p w14:paraId="7C93348C" w14:textId="77777777" w:rsidR="00F201CC" w:rsidRDefault="00F201CC" w:rsidP="009C35F8">
            <w:pPr>
              <w:widowControl w:val="0"/>
              <w:jc w:val="center"/>
            </w:pPr>
            <w:r>
              <w:rPr>
                <w:rFonts w:ascii="Times New Roman" w:eastAsia="Calibri" w:hAnsi="Times New Roman" w:cs="Times New Roman"/>
                <w:sz w:val="24"/>
                <w:szCs w:val="24"/>
              </w:rPr>
              <w:t>2.89E-04</w:t>
            </w:r>
          </w:p>
        </w:tc>
        <w:tc>
          <w:tcPr>
            <w:tcW w:w="1417" w:type="dxa"/>
            <w:vAlign w:val="center"/>
          </w:tcPr>
          <w:p w14:paraId="3653E5E2" w14:textId="77777777" w:rsidR="00F201CC" w:rsidRDefault="00F201CC" w:rsidP="009C35F8">
            <w:pPr>
              <w:widowControl w:val="0"/>
              <w:jc w:val="center"/>
            </w:pPr>
            <w:r>
              <w:rPr>
                <w:rFonts w:ascii="Times New Roman" w:eastAsia="Calibri" w:hAnsi="Times New Roman" w:cs="Times New Roman"/>
                <w:sz w:val="24"/>
                <w:szCs w:val="24"/>
              </w:rPr>
              <w:t>2.10E-04</w:t>
            </w:r>
          </w:p>
        </w:tc>
        <w:tc>
          <w:tcPr>
            <w:tcW w:w="1418" w:type="dxa"/>
            <w:vAlign w:val="center"/>
          </w:tcPr>
          <w:p w14:paraId="4BA6CEDD" w14:textId="77777777" w:rsidR="00F201CC" w:rsidRDefault="00F201CC" w:rsidP="009C35F8">
            <w:pPr>
              <w:widowControl w:val="0"/>
              <w:jc w:val="center"/>
            </w:pPr>
            <w:r>
              <w:rPr>
                <w:rFonts w:ascii="Times New Roman" w:eastAsia="Calibri" w:hAnsi="Times New Roman" w:cs="Times New Roman"/>
                <w:sz w:val="24"/>
                <w:szCs w:val="24"/>
              </w:rPr>
              <w:t>1.23E-04</w:t>
            </w:r>
          </w:p>
        </w:tc>
        <w:tc>
          <w:tcPr>
            <w:tcW w:w="850" w:type="dxa"/>
          </w:tcPr>
          <w:p w14:paraId="595AE43A" w14:textId="77777777" w:rsidR="00F201CC" w:rsidRDefault="00F201CC" w:rsidP="009C35F8">
            <w:pPr>
              <w:widowControl w:val="0"/>
              <w:jc w:val="center"/>
            </w:pPr>
            <w:r>
              <w:rPr>
                <w:rFonts w:ascii="Times New Roman" w:eastAsia="Calibri" w:hAnsi="Times New Roman" w:cs="Times New Roman"/>
                <w:sz w:val="24"/>
                <w:szCs w:val="24"/>
                <w:lang w:val="en-US"/>
              </w:rPr>
              <w:t>IC</w:t>
            </w:r>
          </w:p>
        </w:tc>
      </w:tr>
      <w:tr w:rsidR="00F201CC" w14:paraId="1F809A8D" w14:textId="77777777" w:rsidTr="009C35F8">
        <w:trPr>
          <w:jc w:val="center"/>
        </w:trPr>
        <w:tc>
          <w:tcPr>
            <w:tcW w:w="837" w:type="dxa"/>
            <w:vMerge/>
          </w:tcPr>
          <w:p w14:paraId="055209C0" w14:textId="77777777" w:rsidR="00F201CC" w:rsidRDefault="00F201CC" w:rsidP="009C35F8">
            <w:pPr>
              <w:widowControl w:val="0"/>
              <w:rPr>
                <w:rFonts w:ascii="Times New Roman" w:eastAsia="Calibri" w:hAnsi="Times New Roman" w:cs="Times New Roman"/>
              </w:rPr>
            </w:pPr>
          </w:p>
        </w:tc>
        <w:tc>
          <w:tcPr>
            <w:tcW w:w="1290" w:type="dxa"/>
            <w:vAlign w:val="center"/>
          </w:tcPr>
          <w:p w14:paraId="374CAE0B" w14:textId="77777777" w:rsidR="00F201CC" w:rsidRDefault="00F201CC" w:rsidP="009C35F8">
            <w:pPr>
              <w:widowControl w:val="0"/>
              <w:jc w:val="center"/>
            </w:pPr>
            <w:r>
              <w:rPr>
                <w:rFonts w:ascii="Times New Roman" w:eastAsia="Calibri" w:hAnsi="Times New Roman" w:cs="Times New Roman"/>
                <w:sz w:val="24"/>
                <w:szCs w:val="24"/>
              </w:rPr>
              <w:t>3.87E-03</w:t>
            </w:r>
          </w:p>
        </w:tc>
        <w:tc>
          <w:tcPr>
            <w:tcW w:w="1417" w:type="dxa"/>
            <w:vAlign w:val="center"/>
          </w:tcPr>
          <w:p w14:paraId="13BDA4AE" w14:textId="77777777" w:rsidR="00F201CC" w:rsidRDefault="00F201CC" w:rsidP="009C35F8">
            <w:pPr>
              <w:widowControl w:val="0"/>
              <w:jc w:val="center"/>
            </w:pPr>
            <w:r>
              <w:rPr>
                <w:rFonts w:ascii="Times New Roman" w:eastAsia="Calibri" w:hAnsi="Times New Roman" w:cs="Times New Roman"/>
                <w:sz w:val="24"/>
                <w:szCs w:val="24"/>
              </w:rPr>
              <w:t>5.18E-03</w:t>
            </w:r>
          </w:p>
        </w:tc>
        <w:tc>
          <w:tcPr>
            <w:tcW w:w="1417" w:type="dxa"/>
            <w:vAlign w:val="center"/>
          </w:tcPr>
          <w:p w14:paraId="6D636207" w14:textId="77777777" w:rsidR="00F201CC" w:rsidRDefault="00F201CC" w:rsidP="009C35F8">
            <w:pPr>
              <w:widowControl w:val="0"/>
              <w:jc w:val="center"/>
            </w:pPr>
            <w:r>
              <w:rPr>
                <w:rFonts w:ascii="Times New Roman" w:eastAsia="Calibri" w:hAnsi="Times New Roman" w:cs="Times New Roman"/>
                <w:sz w:val="24"/>
                <w:szCs w:val="24"/>
              </w:rPr>
              <w:t>4.10E-03</w:t>
            </w:r>
          </w:p>
        </w:tc>
        <w:tc>
          <w:tcPr>
            <w:tcW w:w="1417" w:type="dxa"/>
            <w:vAlign w:val="center"/>
          </w:tcPr>
          <w:p w14:paraId="18B496F0" w14:textId="77777777" w:rsidR="00F201CC" w:rsidRDefault="00F201CC" w:rsidP="009C35F8">
            <w:pPr>
              <w:widowControl w:val="0"/>
              <w:jc w:val="center"/>
            </w:pPr>
            <w:r>
              <w:rPr>
                <w:rFonts w:ascii="Times New Roman" w:eastAsia="Calibri" w:hAnsi="Times New Roman" w:cs="Times New Roman"/>
                <w:sz w:val="24"/>
                <w:szCs w:val="24"/>
              </w:rPr>
              <w:t>3.81E-03</w:t>
            </w:r>
          </w:p>
        </w:tc>
        <w:tc>
          <w:tcPr>
            <w:tcW w:w="1418" w:type="dxa"/>
            <w:vAlign w:val="center"/>
          </w:tcPr>
          <w:p w14:paraId="630F3A58" w14:textId="77777777" w:rsidR="00F201CC" w:rsidRDefault="00F201CC" w:rsidP="009C35F8">
            <w:pPr>
              <w:widowControl w:val="0"/>
              <w:jc w:val="center"/>
            </w:pPr>
            <w:r>
              <w:rPr>
                <w:rFonts w:ascii="Times New Roman" w:eastAsia="Calibri" w:hAnsi="Times New Roman" w:cs="Times New Roman"/>
                <w:sz w:val="24"/>
                <w:szCs w:val="24"/>
              </w:rPr>
              <w:t>5.09E-03</w:t>
            </w:r>
          </w:p>
        </w:tc>
        <w:tc>
          <w:tcPr>
            <w:tcW w:w="850" w:type="dxa"/>
          </w:tcPr>
          <w:p w14:paraId="5A3E34E8" w14:textId="77777777" w:rsidR="00F201CC" w:rsidRDefault="00F201CC" w:rsidP="009C35F8">
            <w:pPr>
              <w:widowControl w:val="0"/>
              <w:jc w:val="center"/>
            </w:pPr>
            <w:r>
              <w:rPr>
                <w:rFonts w:ascii="Times New Roman" w:eastAsia="Calibri" w:hAnsi="Times New Roman" w:cs="Times New Roman"/>
                <w:sz w:val="24"/>
                <w:szCs w:val="24"/>
                <w:lang w:val="en-US"/>
              </w:rPr>
              <w:t>MS</w:t>
            </w:r>
          </w:p>
        </w:tc>
      </w:tr>
      <w:tr w:rsidR="00F201CC" w14:paraId="2FBA6404" w14:textId="77777777" w:rsidTr="009C35F8">
        <w:trPr>
          <w:jc w:val="center"/>
        </w:trPr>
        <w:tc>
          <w:tcPr>
            <w:tcW w:w="837" w:type="dxa"/>
            <w:vMerge w:val="restart"/>
          </w:tcPr>
          <w:p w14:paraId="23B5C6C6" w14:textId="77777777" w:rsidR="00F201CC" w:rsidRDefault="00F201CC" w:rsidP="009C35F8">
            <w:pPr>
              <w:widowControl w:val="0"/>
              <w:rPr>
                <w:rFonts w:eastAsia="Calibri"/>
              </w:rPr>
            </w:pPr>
            <w:r>
              <w:rPr>
                <w:rFonts w:ascii="Times New Roman" w:eastAsia="Calibri" w:hAnsi="Times New Roman" w:cs="Times New Roman"/>
                <w:sz w:val="24"/>
                <w:szCs w:val="24"/>
                <w:lang w:val="en-US"/>
              </w:rPr>
              <w:lastRenderedPageBreak/>
              <w:t>32×</w:t>
            </w:r>
            <w:r>
              <w:rPr>
                <w:rFonts w:ascii="Times New Roman" w:eastAsia="Calibri" w:hAnsi="Times New Roman" w:cs="Times New Roman"/>
                <w:sz w:val="24"/>
                <w:szCs w:val="24"/>
              </w:rPr>
              <w:t>32</w:t>
            </w:r>
          </w:p>
        </w:tc>
        <w:tc>
          <w:tcPr>
            <w:tcW w:w="1290" w:type="dxa"/>
            <w:vAlign w:val="center"/>
          </w:tcPr>
          <w:p w14:paraId="0F977293" w14:textId="77777777" w:rsidR="00F201CC" w:rsidRDefault="00F201CC" w:rsidP="009C35F8">
            <w:pPr>
              <w:widowControl w:val="0"/>
              <w:jc w:val="center"/>
            </w:pPr>
            <w:r>
              <w:rPr>
                <w:rFonts w:ascii="Times New Roman" w:eastAsia="Calibri" w:hAnsi="Times New Roman" w:cs="Times New Roman"/>
                <w:sz w:val="24"/>
                <w:szCs w:val="24"/>
              </w:rPr>
              <w:t>4.41E-05</w:t>
            </w:r>
          </w:p>
        </w:tc>
        <w:tc>
          <w:tcPr>
            <w:tcW w:w="1417" w:type="dxa"/>
            <w:vAlign w:val="center"/>
          </w:tcPr>
          <w:p w14:paraId="4013204F" w14:textId="77777777" w:rsidR="00F201CC" w:rsidRDefault="00F201CC" w:rsidP="009C35F8">
            <w:pPr>
              <w:widowControl w:val="0"/>
              <w:jc w:val="center"/>
            </w:pPr>
            <w:r>
              <w:rPr>
                <w:rFonts w:ascii="Times New Roman" w:eastAsia="Calibri" w:hAnsi="Times New Roman" w:cs="Times New Roman"/>
                <w:sz w:val="24"/>
                <w:szCs w:val="24"/>
              </w:rPr>
              <w:t>2.96E-05</w:t>
            </w:r>
          </w:p>
        </w:tc>
        <w:tc>
          <w:tcPr>
            <w:tcW w:w="1417" w:type="dxa"/>
            <w:vAlign w:val="center"/>
          </w:tcPr>
          <w:p w14:paraId="38CB454D" w14:textId="77777777" w:rsidR="00F201CC" w:rsidRDefault="00F201CC" w:rsidP="009C35F8">
            <w:pPr>
              <w:widowControl w:val="0"/>
              <w:jc w:val="center"/>
            </w:pPr>
            <w:r>
              <w:rPr>
                <w:rFonts w:ascii="Times New Roman" w:eastAsia="Calibri" w:hAnsi="Times New Roman" w:cs="Times New Roman"/>
                <w:sz w:val="24"/>
                <w:szCs w:val="24"/>
              </w:rPr>
              <w:t>3.03E-05</w:t>
            </w:r>
          </w:p>
        </w:tc>
        <w:tc>
          <w:tcPr>
            <w:tcW w:w="1417" w:type="dxa"/>
            <w:vAlign w:val="center"/>
          </w:tcPr>
          <w:p w14:paraId="692E6334" w14:textId="77777777" w:rsidR="00F201CC" w:rsidRDefault="00F201CC" w:rsidP="009C35F8">
            <w:pPr>
              <w:widowControl w:val="0"/>
              <w:jc w:val="center"/>
            </w:pPr>
            <w:r>
              <w:rPr>
                <w:rFonts w:ascii="Times New Roman" w:eastAsia="Calibri" w:hAnsi="Times New Roman" w:cs="Times New Roman"/>
                <w:sz w:val="24"/>
                <w:szCs w:val="24"/>
              </w:rPr>
              <w:t>2.29E-05</w:t>
            </w:r>
          </w:p>
        </w:tc>
        <w:tc>
          <w:tcPr>
            <w:tcW w:w="1418" w:type="dxa"/>
            <w:vAlign w:val="center"/>
          </w:tcPr>
          <w:p w14:paraId="33A09FA1" w14:textId="77777777" w:rsidR="00F201CC" w:rsidRDefault="00F201CC" w:rsidP="009C35F8">
            <w:pPr>
              <w:widowControl w:val="0"/>
              <w:jc w:val="center"/>
            </w:pPr>
            <w:r>
              <w:rPr>
                <w:rFonts w:ascii="Times New Roman" w:eastAsia="Calibri" w:hAnsi="Times New Roman" w:cs="Times New Roman"/>
                <w:sz w:val="24"/>
                <w:szCs w:val="24"/>
              </w:rPr>
              <w:t>1.36E-05</w:t>
            </w:r>
          </w:p>
        </w:tc>
        <w:tc>
          <w:tcPr>
            <w:tcW w:w="850" w:type="dxa"/>
          </w:tcPr>
          <w:p w14:paraId="34189FE2" w14:textId="77777777" w:rsidR="00F201CC" w:rsidRDefault="00F201CC" w:rsidP="009C35F8">
            <w:pPr>
              <w:widowControl w:val="0"/>
              <w:jc w:val="center"/>
            </w:pPr>
            <w:r>
              <w:rPr>
                <w:rFonts w:ascii="Times New Roman" w:eastAsia="Calibri" w:hAnsi="Times New Roman" w:cs="Times New Roman"/>
                <w:sz w:val="24"/>
                <w:szCs w:val="24"/>
                <w:lang w:val="en-US"/>
              </w:rPr>
              <w:t>IC</w:t>
            </w:r>
          </w:p>
        </w:tc>
      </w:tr>
      <w:tr w:rsidR="00F201CC" w14:paraId="17CBBFDC" w14:textId="77777777" w:rsidTr="009C35F8">
        <w:trPr>
          <w:jc w:val="center"/>
        </w:trPr>
        <w:tc>
          <w:tcPr>
            <w:tcW w:w="837" w:type="dxa"/>
            <w:vMerge/>
          </w:tcPr>
          <w:p w14:paraId="1C9BA8CC" w14:textId="77777777" w:rsidR="00F201CC" w:rsidRDefault="00F201CC" w:rsidP="009C35F8">
            <w:pPr>
              <w:widowControl w:val="0"/>
              <w:rPr>
                <w:rFonts w:ascii="Times New Roman" w:eastAsia="Calibri" w:hAnsi="Times New Roman" w:cs="Times New Roman"/>
              </w:rPr>
            </w:pPr>
          </w:p>
        </w:tc>
        <w:tc>
          <w:tcPr>
            <w:tcW w:w="1290" w:type="dxa"/>
            <w:vAlign w:val="center"/>
          </w:tcPr>
          <w:p w14:paraId="1AA76E8E" w14:textId="77777777" w:rsidR="00F201CC" w:rsidRDefault="00F201CC" w:rsidP="009C35F8">
            <w:pPr>
              <w:widowControl w:val="0"/>
              <w:jc w:val="center"/>
            </w:pPr>
            <w:r>
              <w:rPr>
                <w:rFonts w:ascii="Times New Roman" w:eastAsia="Calibri" w:hAnsi="Times New Roman" w:cs="Times New Roman"/>
                <w:sz w:val="24"/>
                <w:szCs w:val="24"/>
              </w:rPr>
              <w:t>2.92E-04</w:t>
            </w:r>
          </w:p>
        </w:tc>
        <w:tc>
          <w:tcPr>
            <w:tcW w:w="1417" w:type="dxa"/>
            <w:vAlign w:val="center"/>
          </w:tcPr>
          <w:p w14:paraId="24490C43" w14:textId="77777777" w:rsidR="00F201CC" w:rsidRDefault="00F201CC" w:rsidP="009C35F8">
            <w:pPr>
              <w:widowControl w:val="0"/>
              <w:jc w:val="center"/>
            </w:pPr>
            <w:r>
              <w:rPr>
                <w:rFonts w:ascii="Times New Roman" w:eastAsia="Calibri" w:hAnsi="Times New Roman" w:cs="Times New Roman"/>
                <w:sz w:val="24"/>
                <w:szCs w:val="24"/>
              </w:rPr>
              <w:t>4.43E-04</w:t>
            </w:r>
          </w:p>
        </w:tc>
        <w:tc>
          <w:tcPr>
            <w:tcW w:w="1417" w:type="dxa"/>
            <w:vAlign w:val="center"/>
          </w:tcPr>
          <w:p w14:paraId="2168358B" w14:textId="77777777" w:rsidR="00F201CC" w:rsidRDefault="00F201CC" w:rsidP="009C35F8">
            <w:pPr>
              <w:widowControl w:val="0"/>
              <w:jc w:val="center"/>
            </w:pPr>
            <w:r>
              <w:rPr>
                <w:rFonts w:ascii="Times New Roman" w:eastAsia="Calibri" w:hAnsi="Times New Roman" w:cs="Times New Roman"/>
                <w:sz w:val="24"/>
                <w:szCs w:val="24"/>
              </w:rPr>
              <w:t>5.38E-04</w:t>
            </w:r>
          </w:p>
        </w:tc>
        <w:tc>
          <w:tcPr>
            <w:tcW w:w="1417" w:type="dxa"/>
            <w:vAlign w:val="center"/>
          </w:tcPr>
          <w:p w14:paraId="35DAC8BF" w14:textId="77777777" w:rsidR="00F201CC" w:rsidRDefault="00F201CC" w:rsidP="009C35F8">
            <w:pPr>
              <w:widowControl w:val="0"/>
              <w:jc w:val="center"/>
            </w:pPr>
            <w:r>
              <w:rPr>
                <w:rFonts w:ascii="Times New Roman" w:eastAsia="Calibri" w:hAnsi="Times New Roman" w:cs="Times New Roman"/>
                <w:sz w:val="24"/>
                <w:szCs w:val="24"/>
              </w:rPr>
              <w:t>3.01E-04</w:t>
            </w:r>
          </w:p>
        </w:tc>
        <w:tc>
          <w:tcPr>
            <w:tcW w:w="1418" w:type="dxa"/>
            <w:vAlign w:val="center"/>
          </w:tcPr>
          <w:p w14:paraId="25542A85" w14:textId="77777777" w:rsidR="00F201CC" w:rsidRDefault="00F201CC" w:rsidP="009C35F8">
            <w:pPr>
              <w:widowControl w:val="0"/>
              <w:jc w:val="center"/>
            </w:pPr>
            <w:r>
              <w:rPr>
                <w:rFonts w:ascii="Times New Roman" w:eastAsia="Calibri" w:hAnsi="Times New Roman" w:cs="Times New Roman"/>
                <w:sz w:val="24"/>
                <w:szCs w:val="24"/>
              </w:rPr>
              <w:t>5.18E-04</w:t>
            </w:r>
          </w:p>
        </w:tc>
        <w:tc>
          <w:tcPr>
            <w:tcW w:w="850" w:type="dxa"/>
          </w:tcPr>
          <w:p w14:paraId="28EFEFB5" w14:textId="77777777" w:rsidR="00F201CC" w:rsidRDefault="00F201CC" w:rsidP="009C35F8">
            <w:pPr>
              <w:widowControl w:val="0"/>
              <w:jc w:val="center"/>
            </w:pPr>
            <w:r>
              <w:rPr>
                <w:rFonts w:ascii="Times New Roman" w:eastAsia="Calibri" w:hAnsi="Times New Roman" w:cs="Times New Roman"/>
                <w:sz w:val="24"/>
                <w:szCs w:val="24"/>
                <w:lang w:val="en-US"/>
              </w:rPr>
              <w:t>MS</w:t>
            </w:r>
          </w:p>
        </w:tc>
      </w:tr>
      <w:tr w:rsidR="00F201CC" w14:paraId="7D64594A" w14:textId="77777777" w:rsidTr="009C35F8">
        <w:trPr>
          <w:jc w:val="center"/>
        </w:trPr>
        <w:tc>
          <w:tcPr>
            <w:tcW w:w="837" w:type="dxa"/>
            <w:vMerge w:val="restart"/>
          </w:tcPr>
          <w:p w14:paraId="7E8C0ADF" w14:textId="77777777" w:rsidR="00F201CC" w:rsidRDefault="00F201CC" w:rsidP="009C35F8">
            <w:pPr>
              <w:widowControl w:val="0"/>
              <w:rPr>
                <w:rFonts w:eastAsia="Calibri"/>
              </w:rPr>
            </w:pPr>
            <w:r>
              <w:rPr>
                <w:rFonts w:ascii="Times New Roman" w:eastAsia="Calibri" w:hAnsi="Times New Roman" w:cs="Times New Roman"/>
                <w:sz w:val="24"/>
                <w:szCs w:val="24"/>
              </w:rPr>
              <w:t>64×</w:t>
            </w:r>
            <w:r>
              <w:rPr>
                <w:rFonts w:ascii="Times New Roman" w:eastAsia="Calibri" w:hAnsi="Times New Roman" w:cs="Times New Roman"/>
                <w:sz w:val="24"/>
                <w:szCs w:val="24"/>
                <w:lang w:val="en-US"/>
              </w:rPr>
              <w:t>64</w:t>
            </w:r>
          </w:p>
        </w:tc>
        <w:tc>
          <w:tcPr>
            <w:tcW w:w="1290" w:type="dxa"/>
            <w:vAlign w:val="center"/>
          </w:tcPr>
          <w:p w14:paraId="5D8A16CE" w14:textId="77777777" w:rsidR="00F201CC" w:rsidRDefault="00F201CC" w:rsidP="009C35F8">
            <w:pPr>
              <w:widowControl w:val="0"/>
              <w:jc w:val="center"/>
            </w:pPr>
            <w:r>
              <w:rPr>
                <w:rFonts w:ascii="Times New Roman" w:eastAsia="Calibri" w:hAnsi="Times New Roman" w:cs="Times New Roman"/>
                <w:sz w:val="24"/>
                <w:szCs w:val="24"/>
              </w:rPr>
              <w:t>5.73E-06</w:t>
            </w:r>
          </w:p>
        </w:tc>
        <w:tc>
          <w:tcPr>
            <w:tcW w:w="1417" w:type="dxa"/>
            <w:vAlign w:val="center"/>
          </w:tcPr>
          <w:p w14:paraId="1599B82D" w14:textId="77777777" w:rsidR="00F201CC" w:rsidRDefault="00F201CC" w:rsidP="009C35F8">
            <w:pPr>
              <w:widowControl w:val="0"/>
              <w:jc w:val="center"/>
            </w:pPr>
            <w:r>
              <w:rPr>
                <w:rFonts w:ascii="Times New Roman" w:eastAsia="Calibri" w:hAnsi="Times New Roman" w:cs="Times New Roman"/>
                <w:sz w:val="24"/>
                <w:szCs w:val="24"/>
              </w:rPr>
              <w:t>1.82E-06</w:t>
            </w:r>
          </w:p>
        </w:tc>
        <w:tc>
          <w:tcPr>
            <w:tcW w:w="1417" w:type="dxa"/>
            <w:vAlign w:val="center"/>
          </w:tcPr>
          <w:p w14:paraId="453B59EF" w14:textId="77777777" w:rsidR="00F201CC" w:rsidRDefault="00F201CC" w:rsidP="009C35F8">
            <w:pPr>
              <w:widowControl w:val="0"/>
              <w:jc w:val="center"/>
            </w:pPr>
            <w:r>
              <w:rPr>
                <w:rFonts w:ascii="Times New Roman" w:eastAsia="Calibri" w:hAnsi="Times New Roman" w:cs="Times New Roman"/>
                <w:sz w:val="24"/>
                <w:szCs w:val="24"/>
              </w:rPr>
              <w:t>3.91E-06</w:t>
            </w:r>
          </w:p>
        </w:tc>
        <w:tc>
          <w:tcPr>
            <w:tcW w:w="1417" w:type="dxa"/>
            <w:vAlign w:val="center"/>
          </w:tcPr>
          <w:p w14:paraId="10F5F986" w14:textId="77777777" w:rsidR="00F201CC" w:rsidRDefault="00F201CC" w:rsidP="009C35F8">
            <w:pPr>
              <w:widowControl w:val="0"/>
              <w:jc w:val="center"/>
            </w:pPr>
            <w:r>
              <w:rPr>
                <w:rFonts w:ascii="Times New Roman" w:eastAsia="Calibri" w:hAnsi="Times New Roman" w:cs="Times New Roman"/>
                <w:sz w:val="24"/>
                <w:szCs w:val="24"/>
              </w:rPr>
              <w:t>2.96E-06</w:t>
            </w:r>
          </w:p>
        </w:tc>
        <w:tc>
          <w:tcPr>
            <w:tcW w:w="1418" w:type="dxa"/>
            <w:vAlign w:val="center"/>
          </w:tcPr>
          <w:p w14:paraId="47723909" w14:textId="77777777" w:rsidR="00F201CC" w:rsidRDefault="00F201CC" w:rsidP="009C35F8">
            <w:pPr>
              <w:widowControl w:val="0"/>
              <w:jc w:val="center"/>
            </w:pPr>
            <w:r>
              <w:rPr>
                <w:rFonts w:ascii="Times New Roman" w:eastAsia="Calibri" w:hAnsi="Times New Roman" w:cs="Times New Roman"/>
                <w:sz w:val="24"/>
                <w:szCs w:val="24"/>
              </w:rPr>
              <w:t>1.77E-06</w:t>
            </w:r>
          </w:p>
        </w:tc>
        <w:tc>
          <w:tcPr>
            <w:tcW w:w="850" w:type="dxa"/>
          </w:tcPr>
          <w:p w14:paraId="0402E052" w14:textId="77777777" w:rsidR="00F201CC" w:rsidRDefault="00F201CC" w:rsidP="009C35F8">
            <w:pPr>
              <w:widowControl w:val="0"/>
              <w:jc w:val="center"/>
            </w:pPr>
            <w:r>
              <w:rPr>
                <w:rFonts w:ascii="Times New Roman" w:eastAsia="Calibri" w:hAnsi="Times New Roman" w:cs="Times New Roman"/>
                <w:sz w:val="24"/>
                <w:szCs w:val="24"/>
                <w:lang w:val="en-US"/>
              </w:rPr>
              <w:t>IC</w:t>
            </w:r>
          </w:p>
        </w:tc>
      </w:tr>
      <w:tr w:rsidR="00F201CC" w14:paraId="1157F910" w14:textId="77777777" w:rsidTr="009C35F8">
        <w:trPr>
          <w:jc w:val="center"/>
        </w:trPr>
        <w:tc>
          <w:tcPr>
            <w:tcW w:w="837" w:type="dxa"/>
            <w:vMerge/>
          </w:tcPr>
          <w:p w14:paraId="0DC2723C" w14:textId="77777777" w:rsidR="00F201CC" w:rsidRDefault="00F201CC" w:rsidP="009C35F8">
            <w:pPr>
              <w:widowControl w:val="0"/>
              <w:rPr>
                <w:rFonts w:ascii="Times New Roman" w:eastAsia="Calibri" w:hAnsi="Times New Roman" w:cs="Times New Roman"/>
              </w:rPr>
            </w:pPr>
          </w:p>
        </w:tc>
        <w:tc>
          <w:tcPr>
            <w:tcW w:w="1290" w:type="dxa"/>
            <w:vAlign w:val="center"/>
          </w:tcPr>
          <w:p w14:paraId="77A50F22" w14:textId="77777777" w:rsidR="00F201CC" w:rsidRDefault="00F201CC" w:rsidP="009C35F8">
            <w:pPr>
              <w:widowControl w:val="0"/>
              <w:jc w:val="center"/>
            </w:pPr>
            <w:r>
              <w:rPr>
                <w:rFonts w:ascii="Times New Roman" w:eastAsia="Calibri" w:hAnsi="Times New Roman" w:cs="Times New Roman"/>
                <w:sz w:val="24"/>
                <w:szCs w:val="24"/>
              </w:rPr>
              <w:t>2.79E-05</w:t>
            </w:r>
          </w:p>
        </w:tc>
        <w:tc>
          <w:tcPr>
            <w:tcW w:w="1417" w:type="dxa"/>
            <w:vAlign w:val="center"/>
          </w:tcPr>
          <w:p w14:paraId="1242730E" w14:textId="77777777" w:rsidR="00F201CC" w:rsidRDefault="00F201CC" w:rsidP="009C35F8">
            <w:pPr>
              <w:widowControl w:val="0"/>
              <w:jc w:val="center"/>
            </w:pPr>
            <w:r>
              <w:rPr>
                <w:rFonts w:ascii="Times New Roman" w:eastAsia="Calibri" w:hAnsi="Times New Roman" w:cs="Times New Roman"/>
                <w:sz w:val="24"/>
                <w:szCs w:val="24"/>
              </w:rPr>
              <w:t>6.38E-05</w:t>
            </w:r>
          </w:p>
        </w:tc>
        <w:tc>
          <w:tcPr>
            <w:tcW w:w="1417" w:type="dxa"/>
            <w:vAlign w:val="center"/>
          </w:tcPr>
          <w:p w14:paraId="1A44A28D" w14:textId="77777777" w:rsidR="00F201CC" w:rsidRDefault="00F201CC" w:rsidP="009C35F8">
            <w:pPr>
              <w:widowControl w:val="0"/>
              <w:jc w:val="center"/>
            </w:pPr>
            <w:r>
              <w:rPr>
                <w:rFonts w:ascii="Times New Roman" w:eastAsia="Calibri" w:hAnsi="Times New Roman" w:cs="Times New Roman"/>
                <w:sz w:val="24"/>
                <w:szCs w:val="24"/>
              </w:rPr>
              <w:t>4.50E-05</w:t>
            </w:r>
          </w:p>
        </w:tc>
        <w:tc>
          <w:tcPr>
            <w:tcW w:w="1417" w:type="dxa"/>
            <w:vAlign w:val="center"/>
          </w:tcPr>
          <w:p w14:paraId="561CB31E" w14:textId="77777777" w:rsidR="00F201CC" w:rsidRDefault="00F201CC" w:rsidP="009C35F8">
            <w:pPr>
              <w:widowControl w:val="0"/>
              <w:jc w:val="center"/>
            </w:pPr>
            <w:r>
              <w:rPr>
                <w:rFonts w:ascii="Times New Roman" w:eastAsia="Calibri" w:hAnsi="Times New Roman" w:cs="Times New Roman"/>
                <w:sz w:val="24"/>
                <w:szCs w:val="24"/>
              </w:rPr>
              <w:t>5.45E-05</w:t>
            </w:r>
          </w:p>
        </w:tc>
        <w:tc>
          <w:tcPr>
            <w:tcW w:w="1418" w:type="dxa"/>
            <w:vAlign w:val="center"/>
          </w:tcPr>
          <w:p w14:paraId="26107312" w14:textId="77777777" w:rsidR="00F201CC" w:rsidRDefault="00F201CC" w:rsidP="009C35F8">
            <w:pPr>
              <w:widowControl w:val="0"/>
              <w:jc w:val="center"/>
            </w:pPr>
            <w:r>
              <w:rPr>
                <w:rFonts w:ascii="Times New Roman" w:eastAsia="Calibri" w:hAnsi="Times New Roman" w:cs="Times New Roman"/>
                <w:sz w:val="24"/>
                <w:szCs w:val="24"/>
              </w:rPr>
              <w:t>8.09E-05</w:t>
            </w:r>
          </w:p>
        </w:tc>
        <w:tc>
          <w:tcPr>
            <w:tcW w:w="850" w:type="dxa"/>
          </w:tcPr>
          <w:p w14:paraId="601B45F7" w14:textId="77777777" w:rsidR="00F201CC" w:rsidRDefault="00F201CC" w:rsidP="009C35F8">
            <w:pPr>
              <w:widowControl w:val="0"/>
              <w:jc w:val="center"/>
            </w:pPr>
            <w:r>
              <w:rPr>
                <w:rFonts w:ascii="Times New Roman" w:eastAsia="Calibri" w:hAnsi="Times New Roman" w:cs="Times New Roman"/>
                <w:sz w:val="24"/>
                <w:szCs w:val="24"/>
                <w:lang w:val="en-US"/>
              </w:rPr>
              <w:t>MS</w:t>
            </w:r>
          </w:p>
        </w:tc>
      </w:tr>
    </w:tbl>
    <w:p w14:paraId="76FA969A" w14:textId="77777777" w:rsidR="00F201CC" w:rsidRDefault="00F201CC" w:rsidP="00F201CC">
      <w:pPr>
        <w:pStyle w:val="a3"/>
        <w:spacing w:before="120" w:after="120" w:line="240" w:lineRule="auto"/>
        <w:ind w:firstLine="567"/>
        <w:jc w:val="center"/>
      </w:pPr>
      <w:r>
        <w:rPr>
          <w:sz w:val="20"/>
          <w:szCs w:val="20"/>
        </w:rPr>
        <w:t>Табл. 3. Погрешность расчета потенциала электрического поля.</w:t>
      </w:r>
    </w:p>
    <w:p w14:paraId="06709034" w14:textId="77777777" w:rsidR="00F201CC" w:rsidRDefault="00F201CC" w:rsidP="00F201CC">
      <w:pPr>
        <w:pStyle w:val="a3"/>
        <w:spacing w:line="240" w:lineRule="auto"/>
        <w:ind w:firstLine="0"/>
      </w:pPr>
      <w:r>
        <w:rPr>
          <w:rFonts w:eastAsia="Times New Roman"/>
          <w:lang w:eastAsia="ru-RU"/>
        </w:rPr>
        <w:t xml:space="preserve">Здесь </w:t>
      </w:r>
      <w:r>
        <w:rPr>
          <w:rFonts w:eastAsia="Times New Roman"/>
          <w:i/>
          <w:sz w:val="28"/>
          <w:szCs w:val="28"/>
          <w:lang w:val="en-US" w:eastAsia="ru-RU"/>
        </w:rPr>
        <w:t>d</w:t>
      </w:r>
      <w:r>
        <w:rPr>
          <w:rFonts w:eastAsia="Times New Roman"/>
          <w:sz w:val="28"/>
          <w:szCs w:val="28"/>
          <w:lang w:eastAsia="ru-RU"/>
        </w:rPr>
        <w:t xml:space="preserve"> </w:t>
      </w:r>
      <w:r>
        <w:rPr>
          <w:rFonts w:eastAsia="Times New Roman"/>
          <w:lang w:eastAsia="ru-RU"/>
        </w:rPr>
        <w:t xml:space="preserve">– расстояние до границы. Из таблицы видно: метод IC специального приближения с учетом граничного условия значительно (до 50 раз) точнее классического метода наименьших квадратов; погрешность уменьшается приблизительно в 8 раза при дроблении сетки в 2 раза, то есть разработанные алгоритмы имеют третий порядок точности; погрешность уменьшается с уменьшением </w:t>
      </w:r>
      <w:r>
        <w:rPr>
          <w:rFonts w:eastAsia="Times New Roman"/>
          <w:i/>
          <w:sz w:val="28"/>
          <w:szCs w:val="28"/>
          <w:lang w:eastAsia="ru-RU"/>
        </w:rPr>
        <w:t>d</w:t>
      </w:r>
      <w:r>
        <w:rPr>
          <w:rFonts w:eastAsia="Times New Roman"/>
          <w:lang w:eastAsia="ru-RU"/>
        </w:rPr>
        <w:t>, то есть с приближением к границе.</w:t>
      </w:r>
    </w:p>
    <w:p w14:paraId="2758D0EA" w14:textId="77777777" w:rsidR="00F201CC" w:rsidRDefault="00F201CC" w:rsidP="00F201CC">
      <w:pPr>
        <w:pStyle w:val="a3"/>
        <w:spacing w:line="240" w:lineRule="auto"/>
        <w:ind w:firstLine="567"/>
      </w:pPr>
      <w:bookmarkStart w:id="5" w:name="_Hlk153216337"/>
      <w:r>
        <w:rPr>
          <w:rFonts w:eastAsia="Times New Roman"/>
          <w:lang w:eastAsia="ru-RU"/>
        </w:rPr>
        <w:t xml:space="preserve">Для решения многих современных задач при обработке данных используются графы. Большие данные могут состоять из терабайтов сжатых данных при хранении на дисках, что является слишком большим объемом данных для одной машины. Чтобы эффективно обрабатывать такие графы, общепринятым решением является распределение данных по большому количеству машин и использование параллельных, распределенных алгоритмов. Такой подход порождает множество проблем системной инженерии, из которых мы рассмотрим только проблему распределения данных, которая в случае </w:t>
      </w:r>
      <w:proofErr w:type="spellStart"/>
      <w:r>
        <w:rPr>
          <w:rFonts w:eastAsia="Times New Roman"/>
          <w:lang w:eastAsia="ru-RU"/>
        </w:rPr>
        <w:t>графового</w:t>
      </w:r>
      <w:proofErr w:type="spellEnd"/>
      <w:r>
        <w:rPr>
          <w:rFonts w:eastAsia="Times New Roman"/>
          <w:lang w:eastAsia="ru-RU"/>
        </w:rPr>
        <w:t xml:space="preserve"> представления сводится к проблеме разбиения вершин графа на подмножества. Цель состоит в том, чтобы минимизировать количество пересекающихся ребер из разных подмножеств, сохраняя при этом примерно одинаковое количество вершин (или ребер) в каждом подмножестве. В ходе работ алгоритмы реализовывались в двух вариантах: </w:t>
      </w:r>
      <w:bookmarkStart w:id="6" w:name="_Hlk153217083"/>
      <w:r>
        <w:rPr>
          <w:rFonts w:eastAsia="Times New Roman"/>
          <w:lang w:eastAsia="ru-RU"/>
        </w:rPr>
        <w:t xml:space="preserve">применение многопоточного подхода и реализация на графических ускорителях (GPU). По сравнению с алгоритмами на процессорах, алгоритмы на GPU значительно быстрее решают задачу, поэтому работа была сосредоточена на них. </w:t>
      </w:r>
      <w:bookmarkEnd w:id="6"/>
      <w:r>
        <w:rPr>
          <w:rFonts w:eastAsia="Times New Roman"/>
          <w:lang w:eastAsia="ru-RU"/>
        </w:rPr>
        <w:t>Тестирование алгоритмов проводилось на графах, представленных в коллекции графов Флориды, выбраны из различных областей и имеют разные типы весов ребер (вещественные, целочисленные или ребра с единичным весом).</w:t>
      </w:r>
      <w:bookmarkEnd w:id="5"/>
    </w:p>
    <w:p w14:paraId="1553796D" w14:textId="77777777" w:rsidR="00F201CC" w:rsidRDefault="00F201CC" w:rsidP="00F201CC">
      <w:pPr>
        <w:pStyle w:val="a3"/>
        <w:spacing w:line="240" w:lineRule="auto"/>
        <w:ind w:firstLine="567"/>
      </w:pPr>
      <w:r>
        <w:rPr>
          <w:rFonts w:eastAsia="Times New Roman"/>
          <w:lang w:eastAsia="ru-RU"/>
        </w:rPr>
        <w:t xml:space="preserve">В отчетный период была рассмотрена задача о вычислении силы воздействия осесимметричного магнитного поля на сверхпроводящий шар произвольного радиуса. При воздействии внешнего магнитного поля на сверхпроводник по его поверхности начинает циркулировать электрический ток, создающий магнитное поле, экранирующее внешнее поле в объёме сверхпроводника. Если внешнее магнитное поле является осесимметричным, а сверхпроводник имеет шаровую форму радиуса </w:t>
      </w:r>
      <w:r>
        <w:rPr>
          <w:rFonts w:eastAsia="Times New Roman"/>
          <w:i/>
          <w:sz w:val="28"/>
          <w:szCs w:val="28"/>
          <w:lang w:val="en-US" w:eastAsia="ru-RU"/>
        </w:rPr>
        <w:t>R</w:t>
      </w:r>
      <w:r>
        <w:rPr>
          <w:rFonts w:eastAsia="Times New Roman"/>
          <w:i/>
          <w:sz w:val="28"/>
          <w:szCs w:val="28"/>
          <w:lang w:eastAsia="ru-RU"/>
        </w:rPr>
        <w:t xml:space="preserve"> </w:t>
      </w:r>
      <w:r>
        <w:rPr>
          <w:rFonts w:eastAsia="Times New Roman"/>
          <w:lang w:eastAsia="ru-RU"/>
        </w:rPr>
        <w:t xml:space="preserve">с центром на оси магнитного поля, то по его поверхности начинают циркулировать круговые токи вокруг оси, плотность которых   </w:t>
      </w:r>
      <w:r>
        <w:rPr>
          <w:rFonts w:eastAsia="Times New Roman"/>
          <w:i/>
          <w:sz w:val="28"/>
          <w:szCs w:val="28"/>
          <w:lang w:val="en-US" w:eastAsia="ru-RU"/>
        </w:rPr>
        <w:t>j</w:t>
      </w:r>
      <w:r>
        <w:rPr>
          <w:rFonts w:eastAsia="Times New Roman"/>
          <w:sz w:val="28"/>
          <w:szCs w:val="28"/>
          <w:lang w:eastAsia="ru-RU"/>
        </w:rPr>
        <w:t>(</w:t>
      </w:r>
      <w:r>
        <w:rPr>
          <w:rFonts w:eastAsia="Times New Roman"/>
          <w:i/>
          <w:sz w:val="28"/>
          <w:szCs w:val="28"/>
          <w:lang w:val="en-US" w:eastAsia="ru-RU"/>
        </w:rPr>
        <w:t>x</w:t>
      </w:r>
      <w:r>
        <w:rPr>
          <w:rFonts w:eastAsia="Times New Roman"/>
          <w:sz w:val="28"/>
          <w:szCs w:val="28"/>
          <w:lang w:eastAsia="ru-RU"/>
        </w:rPr>
        <w:t>)</w:t>
      </w:r>
      <w:r>
        <w:rPr>
          <w:rFonts w:eastAsia="Times New Roman"/>
          <w:lang w:eastAsia="ru-RU"/>
        </w:rPr>
        <w:t xml:space="preserve"> является функцией координат центров кругов (Рис. 2):</w:t>
      </w:r>
    </w:p>
    <w:p w14:paraId="3E660AF6" w14:textId="77777777" w:rsidR="00F201CC" w:rsidRDefault="00F201CC" w:rsidP="00F201CC">
      <w:pPr>
        <w:pStyle w:val="a3"/>
        <w:spacing w:line="240" w:lineRule="auto"/>
        <w:ind w:firstLine="0"/>
        <w:jc w:val="center"/>
      </w:pPr>
      <w:r>
        <w:rPr>
          <w:noProof/>
        </w:rPr>
        <w:lastRenderedPageBreak/>
        <w:drawing>
          <wp:inline distT="0" distB="0" distL="0" distR="0" wp14:anchorId="60361EA2" wp14:editId="174226FD">
            <wp:extent cx="2536190" cy="2769235"/>
            <wp:effectExtent l="0" t="0" r="0" b="0"/>
            <wp:docPr id="2"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57"/>
                    <pic:cNvPicPr>
                      <a:picLocks noChangeAspect="1" noChangeArrowheads="1"/>
                    </pic:cNvPicPr>
                  </pic:nvPicPr>
                  <pic:blipFill>
                    <a:blip r:embed="rId5"/>
                    <a:stretch>
                      <a:fillRect/>
                    </a:stretch>
                  </pic:blipFill>
                  <pic:spPr bwMode="auto">
                    <a:xfrm>
                      <a:off x="0" y="0"/>
                      <a:ext cx="2536190" cy="2769235"/>
                    </a:xfrm>
                    <a:prstGeom prst="rect">
                      <a:avLst/>
                    </a:prstGeom>
                  </pic:spPr>
                </pic:pic>
              </a:graphicData>
            </a:graphic>
          </wp:inline>
        </w:drawing>
      </w:r>
    </w:p>
    <w:p w14:paraId="6BBF5A54" w14:textId="73433298" w:rsidR="00F201CC" w:rsidRDefault="00F201CC" w:rsidP="00F201CC">
      <w:pPr>
        <w:pStyle w:val="a3"/>
        <w:spacing w:line="240" w:lineRule="auto"/>
        <w:ind w:firstLine="0"/>
        <w:jc w:val="center"/>
      </w:pPr>
      <w:r>
        <w:rPr>
          <w:sz w:val="20"/>
          <w:szCs w:val="20"/>
        </w:rPr>
        <w:t xml:space="preserve">Рис. 2. Сверхпроводящий шар радиуса </w:t>
      </w:r>
      <w:r>
        <w:rPr>
          <w:noProof/>
        </w:rPr>
        <mc:AlternateContent>
          <mc:Choice Requires="wps">
            <w:drawing>
              <wp:anchor distT="0" distB="0" distL="114300" distR="114300" simplePos="0" relativeHeight="251659264" behindDoc="0" locked="0" layoutInCell="1" allowOverlap="1" wp14:anchorId="25778954" wp14:editId="0DB1A63D">
                <wp:simplePos x="0" y="0"/>
                <wp:positionH relativeFrom="column">
                  <wp:posOffset>0</wp:posOffset>
                </wp:positionH>
                <wp:positionV relativeFrom="paragraph">
                  <wp:posOffset>0</wp:posOffset>
                </wp:positionV>
                <wp:extent cx="635000" cy="635000"/>
                <wp:effectExtent l="0" t="0" r="3175" b="3175"/>
                <wp:wrapNone/>
                <wp:docPr id="1679354448" name="Прямоугольник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AC00D"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object w:dxaOrig="255" w:dyaOrig="270" w14:anchorId="75DC2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o:spid="_x0000_i1025" type="#_x0000_t75" style="width:12.75pt;height:13.5pt;visibility:visible;mso-wrap-distance-right:0;mso-wrap-distance-bottom:6pt" o:ole="">
            <v:imagedata r:id="rId6" o:title=""/>
          </v:shape>
          <o:OLEObject Type="Embed" ShapeID="ole_rId4" DrawAspect="Content" ObjectID="_1767533066" r:id="rId7"/>
        </w:object>
      </w:r>
      <w:r>
        <w:rPr>
          <w:sz w:val="20"/>
          <w:szCs w:val="20"/>
        </w:rPr>
        <w:t xml:space="preserve"> в осесимметричном магнитном поле.</w:t>
      </w:r>
    </w:p>
    <w:p w14:paraId="26F935FD" w14:textId="77777777" w:rsidR="00F201CC" w:rsidRDefault="00F201CC" w:rsidP="00F201CC">
      <w:pPr>
        <w:pStyle w:val="a3"/>
        <w:spacing w:line="240" w:lineRule="auto"/>
        <w:ind w:firstLine="0"/>
      </w:pPr>
      <w:r>
        <w:rPr>
          <w:rFonts w:eastAsia="Times New Roman"/>
        </w:rPr>
        <w:t>Экранировка внешнего поля внутри сверхпроводника будет иметь место, если внешнее поле будет равно нулю на его оси внутри сверхпроводника. Применяя формулу Био-Савара, получим следующее уравнения для искомой плотности тока:</w:t>
      </w:r>
    </w:p>
    <w:p w14:paraId="4198ECEC" w14:textId="77777777" w:rsidR="00F201CC" w:rsidRDefault="00F201CC" w:rsidP="00F201CC">
      <w:pPr>
        <w:pStyle w:val="a3"/>
        <w:spacing w:line="240" w:lineRule="auto"/>
        <w:ind w:firstLine="0"/>
        <w:jc w:val="center"/>
      </w:pPr>
      <w:r>
        <w:rPr>
          <w:noProof/>
        </w:rPr>
        <w:drawing>
          <wp:inline distT="0" distB="0" distL="0" distR="0" wp14:anchorId="5FDE6E3B" wp14:editId="7337C1B8">
            <wp:extent cx="4566285" cy="137160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pic:cNvPicPr>
                      <a:picLocks noChangeAspect="1" noChangeArrowheads="1"/>
                    </pic:cNvPicPr>
                  </pic:nvPicPr>
                  <pic:blipFill>
                    <a:blip r:embed="rId8"/>
                    <a:stretch>
                      <a:fillRect/>
                    </a:stretch>
                  </pic:blipFill>
                  <pic:spPr bwMode="auto">
                    <a:xfrm>
                      <a:off x="0" y="0"/>
                      <a:ext cx="4566285" cy="1371600"/>
                    </a:xfrm>
                    <a:prstGeom prst="rect">
                      <a:avLst/>
                    </a:prstGeom>
                  </pic:spPr>
                </pic:pic>
              </a:graphicData>
            </a:graphic>
          </wp:inline>
        </w:drawing>
      </w:r>
    </w:p>
    <w:p w14:paraId="22C5F48D" w14:textId="77777777" w:rsidR="00F201CC" w:rsidRDefault="00F201CC" w:rsidP="00F201CC">
      <w:pPr>
        <w:pStyle w:val="a3"/>
        <w:spacing w:line="240" w:lineRule="auto"/>
        <w:ind w:firstLine="0"/>
      </w:pPr>
      <w:r>
        <w:rPr>
          <w:rFonts w:eastAsia="Times New Roman"/>
          <w:lang w:eastAsia="ru-RU"/>
        </w:rPr>
        <w:t>Полиномиальное представление правой части приводит к аналогичному представлению плотности тока, и, как следствие, получена искомая формула силы. Если правая часть уравнения является многочленом вида</w:t>
      </w:r>
    </w:p>
    <w:p w14:paraId="1F437E65" w14:textId="77777777" w:rsidR="00F201CC" w:rsidRDefault="00F201CC" w:rsidP="00F201CC">
      <w:pPr>
        <w:pStyle w:val="a3"/>
        <w:spacing w:line="240" w:lineRule="auto"/>
        <w:ind w:firstLine="0"/>
        <w:jc w:val="center"/>
      </w:pPr>
      <w:r>
        <w:rPr>
          <w:noProof/>
        </w:rPr>
        <w:drawing>
          <wp:inline distT="0" distB="0" distL="0" distR="0" wp14:anchorId="3D0FAC73" wp14:editId="1D579451">
            <wp:extent cx="3475990" cy="602615"/>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3"/>
                    <pic:cNvPicPr>
                      <a:picLocks noChangeAspect="1" noChangeArrowheads="1"/>
                    </pic:cNvPicPr>
                  </pic:nvPicPr>
                  <pic:blipFill>
                    <a:blip r:embed="rId9"/>
                    <a:stretch>
                      <a:fillRect/>
                    </a:stretch>
                  </pic:blipFill>
                  <pic:spPr bwMode="auto">
                    <a:xfrm>
                      <a:off x="0" y="0"/>
                      <a:ext cx="3475990" cy="602615"/>
                    </a:xfrm>
                    <a:prstGeom prst="rect">
                      <a:avLst/>
                    </a:prstGeom>
                  </pic:spPr>
                </pic:pic>
              </a:graphicData>
            </a:graphic>
          </wp:inline>
        </w:drawing>
      </w:r>
    </w:p>
    <w:p w14:paraId="7B54B2DE" w14:textId="77777777" w:rsidR="00F201CC" w:rsidRDefault="00F201CC" w:rsidP="00F201CC">
      <w:pPr>
        <w:pStyle w:val="a3"/>
        <w:spacing w:line="240" w:lineRule="auto"/>
        <w:ind w:firstLine="0"/>
      </w:pPr>
      <w:r>
        <w:rPr>
          <w:rFonts w:eastAsia="Times New Roman"/>
          <w:lang w:eastAsia="ru-RU"/>
        </w:rPr>
        <w:t>Тогда формула для силы, действующей на сверхпроводящий шар, задается формулой:</w:t>
      </w:r>
    </w:p>
    <w:p w14:paraId="7B5EE81B" w14:textId="77777777" w:rsidR="00F201CC" w:rsidRDefault="00F201CC" w:rsidP="00F201CC">
      <w:pPr>
        <w:pStyle w:val="a3"/>
        <w:spacing w:line="240" w:lineRule="auto"/>
        <w:ind w:firstLine="0"/>
        <w:jc w:val="center"/>
      </w:pPr>
      <w:r>
        <w:rPr>
          <w:noProof/>
        </w:rPr>
        <w:drawing>
          <wp:inline distT="0" distB="0" distL="0" distR="0" wp14:anchorId="43E1A76A" wp14:editId="42E06BFE">
            <wp:extent cx="2200275" cy="628650"/>
            <wp:effectExtent l="0" t="0" r="0"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5"/>
                    <pic:cNvPicPr>
                      <a:picLocks noChangeAspect="1" noChangeArrowheads="1"/>
                    </pic:cNvPicPr>
                  </pic:nvPicPr>
                  <pic:blipFill>
                    <a:blip r:embed="rId10"/>
                    <a:stretch>
                      <a:fillRect/>
                    </a:stretch>
                  </pic:blipFill>
                  <pic:spPr bwMode="auto">
                    <a:xfrm>
                      <a:off x="0" y="0"/>
                      <a:ext cx="2200275" cy="628650"/>
                    </a:xfrm>
                    <a:prstGeom prst="rect">
                      <a:avLst/>
                    </a:prstGeom>
                  </pic:spPr>
                </pic:pic>
              </a:graphicData>
            </a:graphic>
          </wp:inline>
        </w:drawing>
      </w:r>
    </w:p>
    <w:p w14:paraId="6018D1CF" w14:textId="7525725E" w:rsidR="00F201CC" w:rsidRDefault="00F201CC" w:rsidP="00F201CC">
      <w:pPr>
        <w:pStyle w:val="a3"/>
        <w:spacing w:line="240" w:lineRule="auto"/>
        <w:ind w:firstLine="567"/>
      </w:pPr>
      <w:r>
        <w:rPr>
          <w:rFonts w:eastAsia="Times New Roman"/>
          <w:lang w:eastAsia="ru-RU"/>
        </w:rPr>
        <w:t xml:space="preserve">Разработан экономичный прямой вычислительный алгоритм определения потока тепла на недоступной границе. Предлагаемый подход решения обратной задачи использует неявную разностную схему. Вычисление искомого потока на верхнем слое осуществляется с помощью эффективного прямого алгоритма решения обратной краевой задачи, разработанного ранее для эллиптического уравнения.  Метод позволяет получить решение дискретной задачи за число арифметических операций порядка </w:t>
      </w:r>
      <w:r>
        <w:rPr>
          <w:rFonts w:eastAsia="Times New Roman"/>
          <w:i/>
          <w:lang w:eastAsia="ru-RU"/>
        </w:rPr>
        <w:t>N</w:t>
      </w:r>
      <w:r>
        <w:rPr>
          <w:rFonts w:eastAsia="Times New Roman"/>
          <w:lang w:eastAsia="ru-RU"/>
        </w:rPr>
        <w:t xml:space="preserve"> </w:t>
      </w:r>
      <w:proofErr w:type="spellStart"/>
      <w:r>
        <w:rPr>
          <w:rFonts w:eastAsia="Times New Roman"/>
          <w:lang w:eastAsia="ru-RU"/>
        </w:rPr>
        <w:t>ln</w:t>
      </w:r>
      <w:r>
        <w:rPr>
          <w:rFonts w:eastAsia="Times New Roman"/>
          <w:i/>
          <w:lang w:eastAsia="ru-RU"/>
        </w:rPr>
        <w:t>N</w:t>
      </w:r>
      <w:proofErr w:type="spellEnd"/>
      <w:r>
        <w:rPr>
          <w:rFonts w:eastAsia="Times New Roman"/>
          <w:lang w:eastAsia="ru-RU"/>
        </w:rPr>
        <w:t xml:space="preserve">, где </w:t>
      </w:r>
      <w:r>
        <w:rPr>
          <w:rFonts w:eastAsia="Times New Roman"/>
          <w:i/>
          <w:lang w:eastAsia="ru-RU"/>
        </w:rPr>
        <w:t>N</w:t>
      </w:r>
      <w:r>
        <w:rPr>
          <w:rFonts w:eastAsia="Times New Roman"/>
          <w:lang w:eastAsia="ru-RU"/>
        </w:rPr>
        <w:t xml:space="preserve"> – число точек сетки. Новизна в настоящей работе состоит в том, что представленный экономичный алгоритм может быть применен для оператора с переменными коэффициентами. Принципиально, что в этом случае нельзя получать аналитические решения прямой задачи. Предложенный алгоритм существенно расширяет круг решаемых задач и может применяться при создании приборов способных в реальном масштабе времени определять поток тепла на недоступных для измерения частях неоднородных конструкций. Например, для определения потока тепла на внутреннем радиусе трубы, выполненной из различных материалов.</w:t>
      </w:r>
    </w:p>
    <w:sectPr w:rsidR="00F20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CC"/>
    <w:rsid w:val="00B07864"/>
    <w:rsid w:val="00F20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5A53"/>
  <w15:chartTrackingRefBased/>
  <w15:docId w15:val="{05D60174-F397-4AD0-A828-6474275D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тчета"/>
    <w:basedOn w:val="a"/>
    <w:qFormat/>
    <w:rsid w:val="00F201CC"/>
    <w:pPr>
      <w:suppressAutoHyphens/>
      <w:spacing w:after="0" w:line="360" w:lineRule="auto"/>
      <w:ind w:firstLine="709"/>
      <w:jc w:val="both"/>
    </w:pPr>
    <w:rPr>
      <w:rFonts w:ascii="Times New Roman" w:eastAsia="Noto Serif CJK SC" w:hAnsi="Times New Roman" w:cs="Times New Roman"/>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Чимаева</dc:creator>
  <cp:keywords/>
  <dc:description/>
  <cp:lastModifiedBy>Елена Чимаева</cp:lastModifiedBy>
  <cp:revision>1</cp:revision>
  <dcterms:created xsi:type="dcterms:W3CDTF">2024-01-23T09:36:00Z</dcterms:created>
  <dcterms:modified xsi:type="dcterms:W3CDTF">2024-01-23T09:38:00Z</dcterms:modified>
</cp:coreProperties>
</file>