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6F" w:rsidRPr="00994F26" w:rsidRDefault="0086316F" w:rsidP="0086316F">
      <w:pPr>
        <w:pStyle w:val="20"/>
        <w:keepNext/>
        <w:keepLines/>
        <w:shd w:val="clear" w:color="auto" w:fill="auto"/>
        <w:spacing w:before="160" w:after="16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bookmark3"/>
      <w:r w:rsidRPr="00994F26">
        <w:rPr>
          <w:rFonts w:ascii="Times New Roman" w:hAnsi="Times New Roman" w:cs="Times New Roman"/>
          <w:b/>
          <w:sz w:val="24"/>
          <w:szCs w:val="24"/>
        </w:rPr>
        <w:t>Отчет по этапам НИР, завершенным в 2014 году</w:t>
      </w:r>
      <w:r w:rsidRPr="00994F26">
        <w:rPr>
          <w:rFonts w:ascii="Times New Roman" w:hAnsi="Times New Roman" w:cs="Times New Roman"/>
          <w:b/>
          <w:sz w:val="24"/>
          <w:szCs w:val="24"/>
        </w:rPr>
        <w:br/>
        <w:t>в соответствии с планом НИР института</w:t>
      </w:r>
      <w:bookmarkEnd w:id="0"/>
    </w:p>
    <w:p w:rsidR="0086316F" w:rsidRPr="0071663A" w:rsidRDefault="0086316F" w:rsidP="008631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Проект НИР I.4.1.3. </w:t>
      </w:r>
      <w:r w:rsidRPr="0071663A">
        <w:rPr>
          <w:rFonts w:ascii="Times New Roman" w:hAnsi="Times New Roman" w:cs="Times New Roman"/>
        </w:rPr>
        <w:t xml:space="preserve"> "Развитие суперкомпьютерных технологий и методов моделирования архитектур и алгоритмов для пета- и </w:t>
      </w:r>
      <w:proofErr w:type="spellStart"/>
      <w:r w:rsidRPr="0071663A">
        <w:rPr>
          <w:rFonts w:ascii="Times New Roman" w:hAnsi="Times New Roman" w:cs="Times New Roman"/>
        </w:rPr>
        <w:t>эксафлопсных</w:t>
      </w:r>
      <w:proofErr w:type="spellEnd"/>
      <w:r w:rsidRPr="0071663A">
        <w:rPr>
          <w:rFonts w:ascii="Times New Roman" w:hAnsi="Times New Roman" w:cs="Times New Roman"/>
        </w:rPr>
        <w:t xml:space="preserve"> </w:t>
      </w:r>
      <w:proofErr w:type="spellStart"/>
      <w:r w:rsidRPr="0071663A">
        <w:rPr>
          <w:rFonts w:ascii="Times New Roman" w:hAnsi="Times New Roman" w:cs="Times New Roman"/>
        </w:rPr>
        <w:t>суперЭВМ</w:t>
      </w:r>
      <w:proofErr w:type="spellEnd"/>
      <w:r w:rsidRPr="0071663A">
        <w:rPr>
          <w:rFonts w:ascii="Times New Roman" w:hAnsi="Times New Roman" w:cs="Times New Roman"/>
        </w:rPr>
        <w:t xml:space="preserve">". </w:t>
      </w:r>
    </w:p>
    <w:p w:rsidR="0086316F" w:rsidRPr="0071663A" w:rsidRDefault="0086316F" w:rsidP="0086316F">
      <w:pPr>
        <w:rPr>
          <w:rFonts w:ascii="Times New Roman" w:hAnsi="Times New Roman" w:cs="Times New Roman"/>
        </w:rPr>
      </w:pPr>
      <w:r w:rsidRPr="0071663A">
        <w:rPr>
          <w:rFonts w:ascii="Times New Roman" w:hAnsi="Times New Roman" w:cs="Times New Roman"/>
        </w:rPr>
        <w:t xml:space="preserve">Номер государственной регистрации НИР </w:t>
      </w:r>
      <w:r>
        <w:rPr>
          <w:rFonts w:ascii="Times New Roman" w:hAnsi="Times New Roman" w:cs="Times New Roman"/>
        </w:rPr>
        <w:t xml:space="preserve">№ </w:t>
      </w:r>
      <w:r w:rsidRPr="00AF2787">
        <w:rPr>
          <w:rFonts w:ascii="Times New Roman" w:hAnsi="Times New Roman" w:cs="Times New Roman"/>
          <w:color w:val="000000" w:themeColor="text1"/>
        </w:rPr>
        <w:t>01201370232.</w:t>
      </w:r>
    </w:p>
    <w:p w:rsidR="0086316F" w:rsidRPr="002671AE" w:rsidRDefault="0086316F" w:rsidP="0086316F">
      <w:pPr>
        <w:rPr>
          <w:rFonts w:ascii="Times New Roman" w:hAnsi="Times New Roman" w:cs="Times New Roman"/>
        </w:rPr>
      </w:pPr>
      <w:r w:rsidRPr="0071663A">
        <w:rPr>
          <w:rFonts w:ascii="Times New Roman" w:hAnsi="Times New Roman" w:cs="Times New Roman"/>
        </w:rPr>
        <w:t xml:space="preserve">Руководители: </w:t>
      </w:r>
      <w:r>
        <w:rPr>
          <w:rFonts w:ascii="Times New Roman" w:hAnsi="Times New Roman" w:cs="Times New Roman"/>
        </w:rPr>
        <w:t>д.т.н. Глинский Б.М., Родионов А.С.</w:t>
      </w:r>
    </w:p>
    <w:p w:rsidR="0086316F" w:rsidRDefault="0086316F" w:rsidP="0086316F">
      <w:pPr>
        <w:rPr>
          <w:rFonts w:ascii="Times New Roman" w:hAnsi="Times New Roman" w:cs="Times New Roman"/>
        </w:rPr>
      </w:pPr>
    </w:p>
    <w:p w:rsidR="0086316F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Продолжалась работа по использованию суперкомпьютерных технологий для решения широкого круга фундаментальных задач институтами Сибирского отделения в различных направлениях:</w:t>
      </w:r>
      <w:r w:rsidRPr="00A66D57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>а</w:t>
      </w:r>
      <w:r w:rsidRPr="00A66D57">
        <w:rPr>
          <w:rFonts w:ascii="Times New Roman" w:hAnsi="Times New Roman" w:cs="Times New Roman"/>
        </w:rPr>
        <w:t xml:space="preserve">строфизика, </w:t>
      </w:r>
      <w:proofErr w:type="spellStart"/>
      <w:r w:rsidRPr="00A66D57">
        <w:rPr>
          <w:rFonts w:ascii="Times New Roman" w:hAnsi="Times New Roman" w:cs="Times New Roman"/>
        </w:rPr>
        <w:t>аэротермодинамика</w:t>
      </w:r>
      <w:proofErr w:type="spellEnd"/>
      <w:r w:rsidRPr="00A66D57">
        <w:rPr>
          <w:rFonts w:ascii="Times New Roman" w:hAnsi="Times New Roman" w:cs="Times New Roman"/>
        </w:rPr>
        <w:t xml:space="preserve">, </w:t>
      </w:r>
      <w:proofErr w:type="spellStart"/>
      <w:r w:rsidRPr="00A66D57">
        <w:rPr>
          <w:rFonts w:ascii="Times New Roman" w:hAnsi="Times New Roman" w:cs="Times New Roman"/>
        </w:rPr>
        <w:t>биоинформатика</w:t>
      </w:r>
      <w:proofErr w:type="spellEnd"/>
      <w:r>
        <w:rPr>
          <w:rFonts w:ascii="Times New Roman" w:hAnsi="Times New Roman" w:cs="Times New Roman"/>
        </w:rPr>
        <w:t>, биология, вычислительная математика, вычислительная гидродинамика, вычислительная</w:t>
      </w:r>
      <w:r w:rsidRPr="00A66D57">
        <w:rPr>
          <w:rFonts w:ascii="Times New Roman" w:hAnsi="Times New Roman" w:cs="Times New Roman"/>
        </w:rPr>
        <w:t xml:space="preserve"> техника, геология, геофизика, глобальные климатические изменения, квантовая химия, комплексное освоение и сохранение недр Земли, математика, параллельные вычислительные технологии, системы виртуальной реальности, структура и свойства полимеров, физика, физика высоких энергий (ФВЭ), химия.</w:t>
      </w:r>
      <w:r>
        <w:rPr>
          <w:rFonts w:ascii="Times New Roman" w:hAnsi="Times New Roman" w:cs="Times New Roman"/>
        </w:rPr>
        <w:t xml:space="preserve">  Ниже приведена таблица использования услуг ЦКП ССКЦ в 2014 году, составленная по отчетам пользователей.</w:t>
      </w:r>
    </w:p>
    <w:p w:rsidR="0086316F" w:rsidRDefault="0086316F" w:rsidP="0086316F">
      <w:pPr>
        <w:rPr>
          <w:rFonts w:ascii="Times New Roman" w:hAnsi="Times New Roman" w:cs="Times New Roman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3397"/>
        <w:gridCol w:w="2977"/>
        <w:gridCol w:w="2835"/>
      </w:tblGrid>
      <w:tr w:rsidR="0086316F" w:rsidRPr="002F17C4" w:rsidTr="00726FB1">
        <w:tc>
          <w:tcPr>
            <w:tcW w:w="3397" w:type="dxa"/>
            <w:vMerge w:val="restart"/>
          </w:tcPr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Всего пользователей </w:t>
            </w:r>
            <w:proofErr w:type="gramStart"/>
            <w:r w:rsidRPr="002F17C4">
              <w:rPr>
                <w:rFonts w:cs="Times New Roman"/>
                <w:sz w:val="20"/>
                <w:szCs w:val="20"/>
              </w:rPr>
              <w:t xml:space="preserve">–  </w:t>
            </w:r>
            <w:r w:rsidRPr="002F17C4">
              <w:rPr>
                <w:rFonts w:cs="Times New Roman"/>
                <w:b/>
                <w:sz w:val="20"/>
                <w:szCs w:val="20"/>
              </w:rPr>
              <w:t>155</w:t>
            </w:r>
            <w:proofErr w:type="gramEnd"/>
          </w:p>
          <w:p w:rsidR="0086316F" w:rsidRPr="002F17C4" w:rsidRDefault="0086316F" w:rsidP="00726FB1">
            <w:pPr>
              <w:rPr>
                <w:rFonts w:cs="Times New Roman"/>
                <w:b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Всего организаций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29</w:t>
            </w:r>
          </w:p>
          <w:p w:rsidR="0086316F" w:rsidRPr="002F17C4" w:rsidRDefault="0086316F" w:rsidP="00726FB1">
            <w:pPr>
              <w:rPr>
                <w:rFonts w:cs="Times New Roman"/>
                <w:b/>
                <w:sz w:val="20"/>
                <w:szCs w:val="20"/>
              </w:rPr>
            </w:pP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Академических организаций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24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Университетов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3</w:t>
            </w:r>
            <w:r w:rsidRPr="002F17C4">
              <w:rPr>
                <w:rFonts w:cs="Times New Roman"/>
                <w:sz w:val="20"/>
                <w:szCs w:val="20"/>
              </w:rPr>
              <w:br/>
              <w:t>(СФУ (Красноярск), НГУ, НГТУ)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Другие организации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2</w:t>
            </w:r>
            <w:r w:rsidRPr="002F17C4">
              <w:rPr>
                <w:rFonts w:cs="Times New Roman"/>
                <w:sz w:val="20"/>
                <w:szCs w:val="20"/>
              </w:rPr>
              <w:br/>
              <w:t>(</w:t>
            </w:r>
            <w:proofErr w:type="spellStart"/>
            <w:r w:rsidRPr="002F17C4">
              <w:rPr>
                <w:rFonts w:cs="Times New Roman"/>
                <w:sz w:val="20"/>
                <w:szCs w:val="20"/>
              </w:rPr>
              <w:t>СибНИА</w:t>
            </w:r>
            <w:proofErr w:type="spellEnd"/>
            <w:r w:rsidRPr="002F17C4">
              <w:rPr>
                <w:rFonts w:cs="Times New Roman"/>
                <w:sz w:val="20"/>
                <w:szCs w:val="20"/>
              </w:rPr>
              <w:t xml:space="preserve"> им. Чаплыгина, </w:t>
            </w:r>
            <w:proofErr w:type="spellStart"/>
            <w:r w:rsidRPr="002F17C4">
              <w:rPr>
                <w:rFonts w:cs="Times New Roman"/>
                <w:sz w:val="20"/>
                <w:szCs w:val="20"/>
              </w:rPr>
              <w:t>СибНИГМИ</w:t>
            </w:r>
            <w:proofErr w:type="spellEnd"/>
            <w:r w:rsidRPr="002F17C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  <w:vMerge w:val="restart"/>
          </w:tcPr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Всего грантов, </w:t>
            </w:r>
            <w:proofErr w:type="gramStart"/>
            <w:r w:rsidRPr="002F17C4">
              <w:rPr>
                <w:rFonts w:cs="Times New Roman"/>
                <w:sz w:val="20"/>
                <w:szCs w:val="20"/>
              </w:rPr>
              <w:t>программ,</w:t>
            </w:r>
            <w:r w:rsidRPr="002F17C4">
              <w:rPr>
                <w:rFonts w:cs="Times New Roman"/>
                <w:sz w:val="20"/>
                <w:szCs w:val="20"/>
              </w:rPr>
              <w:br/>
              <w:t>проектов</w:t>
            </w:r>
            <w:proofErr w:type="gramEnd"/>
            <w:r w:rsidRPr="002F17C4">
              <w:rPr>
                <w:rFonts w:cs="Times New Roman"/>
                <w:sz w:val="20"/>
                <w:szCs w:val="20"/>
              </w:rPr>
              <w:t xml:space="preserve">, тем — </w:t>
            </w:r>
            <w:r w:rsidRPr="002F17C4">
              <w:rPr>
                <w:rFonts w:cs="Times New Roman"/>
                <w:b/>
                <w:sz w:val="20"/>
                <w:szCs w:val="20"/>
              </w:rPr>
              <w:t>176</w:t>
            </w:r>
            <w:r w:rsidRPr="002F17C4">
              <w:rPr>
                <w:rFonts w:cs="Times New Roman"/>
                <w:sz w:val="20"/>
                <w:szCs w:val="20"/>
              </w:rPr>
              <w:br/>
            </w:r>
            <w:r w:rsidRPr="002F17C4">
              <w:rPr>
                <w:rFonts w:cs="Times New Roman"/>
                <w:sz w:val="20"/>
                <w:szCs w:val="20"/>
              </w:rPr>
              <w:br/>
              <w:t xml:space="preserve">Из них Российских — </w:t>
            </w:r>
            <w:r w:rsidRPr="002F17C4">
              <w:rPr>
                <w:rFonts w:cs="Times New Roman"/>
                <w:b/>
                <w:sz w:val="20"/>
                <w:szCs w:val="20"/>
              </w:rPr>
              <w:t>171</w:t>
            </w:r>
            <w:r w:rsidRPr="002F17C4">
              <w:rPr>
                <w:rFonts w:cs="Times New Roman"/>
                <w:sz w:val="20"/>
                <w:szCs w:val="20"/>
              </w:rPr>
              <w:t xml:space="preserve"> Международных — </w:t>
            </w:r>
            <w:r w:rsidRPr="002F17C4">
              <w:rPr>
                <w:rFonts w:cs="Times New Roman"/>
                <w:b/>
                <w:sz w:val="20"/>
                <w:szCs w:val="20"/>
              </w:rPr>
              <w:t>5</w:t>
            </w:r>
            <w:r w:rsidRPr="002F17C4">
              <w:rPr>
                <w:rFonts w:cs="Times New Roman"/>
                <w:sz w:val="20"/>
                <w:szCs w:val="20"/>
              </w:rPr>
              <w:br/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Грантов РФФИ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67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Программ РАН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22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Проектов СО РАН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30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Программ </w:t>
            </w:r>
            <w:proofErr w:type="spellStart"/>
            <w:r w:rsidRPr="002F17C4">
              <w:rPr>
                <w:rFonts w:cs="Times New Roman"/>
                <w:sz w:val="20"/>
                <w:szCs w:val="20"/>
              </w:rPr>
              <w:t>Минобнауки</w:t>
            </w:r>
            <w:proofErr w:type="spellEnd"/>
            <w:r w:rsidRPr="002F17C4">
              <w:rPr>
                <w:rFonts w:cs="Times New Roman"/>
                <w:sz w:val="20"/>
                <w:szCs w:val="20"/>
              </w:rPr>
              <w:t xml:space="preserve">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18</w:t>
            </w:r>
          </w:p>
          <w:p w:rsidR="0086316F" w:rsidRPr="002F17C4" w:rsidRDefault="0086316F" w:rsidP="00726FB1">
            <w:pPr>
              <w:rPr>
                <w:rFonts w:cs="Times New Roman"/>
                <w:b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Другие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34</w:t>
            </w:r>
            <w:r>
              <w:rPr>
                <w:rFonts w:cs="Times New Roman"/>
                <w:b/>
                <w:sz w:val="20"/>
                <w:szCs w:val="20"/>
              </w:rPr>
              <w:br/>
            </w:r>
          </w:p>
        </w:tc>
        <w:tc>
          <w:tcPr>
            <w:tcW w:w="2835" w:type="dxa"/>
          </w:tcPr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Всего публикаций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1</w:t>
            </w:r>
            <w:r w:rsidRPr="002F17C4">
              <w:rPr>
                <w:rFonts w:cs="Times New Roman"/>
                <w:b/>
                <w:sz w:val="20"/>
                <w:szCs w:val="20"/>
                <w:lang w:val="en-US"/>
              </w:rPr>
              <w:t>58</w:t>
            </w:r>
            <w:r w:rsidRPr="002F17C4">
              <w:rPr>
                <w:rFonts w:cs="Times New Roman"/>
                <w:sz w:val="20"/>
                <w:szCs w:val="20"/>
              </w:rPr>
              <w:br/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Российских – </w:t>
            </w:r>
            <w:r w:rsidRPr="002F17C4">
              <w:rPr>
                <w:rFonts w:cs="Times New Roman"/>
                <w:b/>
                <w:sz w:val="20"/>
                <w:szCs w:val="20"/>
                <w:lang w:val="en-US"/>
              </w:rPr>
              <w:t>88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2F17C4">
              <w:rPr>
                <w:rFonts w:cs="Times New Roman"/>
                <w:sz w:val="20"/>
                <w:szCs w:val="20"/>
              </w:rPr>
              <w:t>Зарубежных  –</w:t>
            </w:r>
            <w:proofErr w:type="gramEnd"/>
            <w:r w:rsidRPr="002F17C4">
              <w:rPr>
                <w:rFonts w:cs="Times New Roman"/>
                <w:sz w:val="20"/>
                <w:szCs w:val="20"/>
              </w:rPr>
              <w:t xml:space="preserve"> </w:t>
            </w:r>
            <w:r w:rsidRPr="002F17C4">
              <w:rPr>
                <w:rFonts w:cs="Times New Roman"/>
                <w:b/>
                <w:sz w:val="20"/>
                <w:szCs w:val="20"/>
              </w:rPr>
              <w:t>70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6316F" w:rsidRPr="002F17C4" w:rsidTr="00726FB1">
        <w:tc>
          <w:tcPr>
            <w:tcW w:w="3397" w:type="dxa"/>
            <w:vMerge/>
          </w:tcPr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r w:rsidRPr="002F17C4">
              <w:rPr>
                <w:rFonts w:cs="Times New Roman"/>
                <w:sz w:val="20"/>
                <w:szCs w:val="20"/>
              </w:rPr>
              <w:t xml:space="preserve">Доктор. </w:t>
            </w:r>
            <w:proofErr w:type="spellStart"/>
            <w:r w:rsidRPr="002F17C4">
              <w:rPr>
                <w:rFonts w:cs="Times New Roman"/>
                <w:sz w:val="20"/>
                <w:szCs w:val="20"/>
              </w:rPr>
              <w:t>диссерт</w:t>
            </w:r>
            <w:proofErr w:type="spellEnd"/>
            <w:r w:rsidRPr="002F17C4">
              <w:rPr>
                <w:rFonts w:cs="Times New Roman"/>
                <w:sz w:val="20"/>
                <w:szCs w:val="20"/>
              </w:rPr>
              <w:t xml:space="preserve">.  – </w:t>
            </w:r>
            <w:proofErr w:type="gramStart"/>
            <w:r w:rsidRPr="002F17C4">
              <w:rPr>
                <w:rFonts w:cs="Times New Roman"/>
                <w:b/>
                <w:sz w:val="20"/>
                <w:szCs w:val="20"/>
              </w:rPr>
              <w:t>1</w:t>
            </w:r>
            <w:r w:rsidRPr="002F17C4">
              <w:rPr>
                <w:rFonts w:cs="Times New Roman"/>
                <w:sz w:val="20"/>
                <w:szCs w:val="20"/>
              </w:rPr>
              <w:t>,</w:t>
            </w:r>
            <w:r w:rsidRPr="002F17C4">
              <w:rPr>
                <w:rFonts w:cs="Times New Roman"/>
                <w:sz w:val="20"/>
                <w:szCs w:val="20"/>
              </w:rPr>
              <w:br/>
              <w:t>Кандидат</w:t>
            </w:r>
            <w:proofErr w:type="gramEnd"/>
            <w:r w:rsidRPr="002F17C4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2F17C4">
              <w:rPr>
                <w:rFonts w:cs="Times New Roman"/>
                <w:sz w:val="20"/>
                <w:szCs w:val="20"/>
              </w:rPr>
              <w:t>диссерт</w:t>
            </w:r>
            <w:proofErr w:type="spellEnd"/>
            <w:r w:rsidRPr="002F17C4">
              <w:rPr>
                <w:rFonts w:cs="Times New Roman"/>
                <w:sz w:val="20"/>
                <w:szCs w:val="20"/>
              </w:rPr>
              <w:t xml:space="preserve">.  – </w:t>
            </w:r>
            <w:r w:rsidRPr="002F17C4">
              <w:rPr>
                <w:rFonts w:cs="Times New Roman"/>
                <w:b/>
                <w:sz w:val="20"/>
                <w:szCs w:val="20"/>
              </w:rPr>
              <w:t>5</w:t>
            </w:r>
            <w:r w:rsidRPr="002F17C4">
              <w:rPr>
                <w:rFonts w:cs="Times New Roman"/>
                <w:sz w:val="20"/>
                <w:szCs w:val="20"/>
              </w:rPr>
              <w:t>,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2F17C4">
              <w:rPr>
                <w:rFonts w:cs="Times New Roman"/>
                <w:sz w:val="20"/>
                <w:szCs w:val="20"/>
              </w:rPr>
              <w:t>Дипломы  –</w:t>
            </w:r>
            <w:proofErr w:type="gramEnd"/>
            <w:r w:rsidRPr="002F17C4">
              <w:rPr>
                <w:rFonts w:cs="Times New Roman"/>
                <w:sz w:val="20"/>
                <w:szCs w:val="20"/>
              </w:rPr>
              <w:t xml:space="preserve"> </w:t>
            </w:r>
            <w:r w:rsidRPr="002F17C4">
              <w:rPr>
                <w:rFonts w:cs="Times New Roman"/>
                <w:b/>
                <w:sz w:val="20"/>
                <w:szCs w:val="20"/>
              </w:rPr>
              <w:t>7</w:t>
            </w:r>
            <w:r w:rsidRPr="002F17C4">
              <w:rPr>
                <w:rFonts w:cs="Times New Roman"/>
                <w:sz w:val="20"/>
                <w:szCs w:val="20"/>
              </w:rPr>
              <w:t>,</w:t>
            </w:r>
          </w:p>
          <w:p w:rsidR="0086316F" w:rsidRPr="002F17C4" w:rsidRDefault="0086316F" w:rsidP="00726FB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2F17C4">
              <w:rPr>
                <w:rFonts w:cs="Times New Roman"/>
                <w:sz w:val="20"/>
                <w:szCs w:val="20"/>
              </w:rPr>
              <w:t>Патенты  –</w:t>
            </w:r>
            <w:proofErr w:type="gramEnd"/>
            <w:r w:rsidRPr="002F17C4">
              <w:rPr>
                <w:rFonts w:cs="Times New Roman"/>
                <w:sz w:val="20"/>
                <w:szCs w:val="20"/>
              </w:rPr>
              <w:t xml:space="preserve"> </w:t>
            </w:r>
            <w:r w:rsidRPr="002F17C4">
              <w:rPr>
                <w:rFonts w:cs="Times New Roman"/>
                <w:b/>
                <w:sz w:val="20"/>
                <w:szCs w:val="20"/>
              </w:rPr>
              <w:t>2</w:t>
            </w:r>
            <w:r w:rsidRPr="002F17C4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86316F" w:rsidRDefault="0086316F" w:rsidP="0086316F">
      <w:pPr>
        <w:rPr>
          <w:rFonts w:ascii="Times New Roman" w:hAnsi="Times New Roman" w:cs="Times New Roman"/>
        </w:rPr>
      </w:pPr>
    </w:p>
    <w:p w:rsidR="0086316F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Продолжалось наращивание технических и программных средств ЦКП: </w:t>
      </w:r>
    </w:p>
    <w:p w:rsidR="0086316F" w:rsidRDefault="0086316F" w:rsidP="00863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C47BEC">
        <w:rPr>
          <w:rFonts w:ascii="Times New Roman" w:hAnsi="Times New Roman" w:cs="Times New Roman"/>
        </w:rPr>
        <w:t>акуплены (</w:t>
      </w:r>
      <w:proofErr w:type="spellStart"/>
      <w:r w:rsidRPr="00C47BEC">
        <w:rPr>
          <w:rFonts w:ascii="Times New Roman" w:hAnsi="Times New Roman" w:cs="Times New Roman"/>
        </w:rPr>
        <w:t>ИЦиГ</w:t>
      </w:r>
      <w:proofErr w:type="spellEnd"/>
      <w:r>
        <w:rPr>
          <w:rFonts w:ascii="Times New Roman" w:hAnsi="Times New Roman" w:cs="Times New Roman"/>
        </w:rPr>
        <w:t xml:space="preserve"> СО РАН</w:t>
      </w:r>
      <w:r w:rsidRPr="00C47BEC">
        <w:rPr>
          <w:rFonts w:ascii="Times New Roman" w:hAnsi="Times New Roman" w:cs="Times New Roman"/>
        </w:rPr>
        <w:t xml:space="preserve">) три дисковые полки </w:t>
      </w:r>
      <w:r w:rsidRPr="00C47BEC">
        <w:rPr>
          <w:rFonts w:ascii="Times New Roman" w:hAnsi="Times New Roman" w:cs="Times New Roman"/>
          <w:b/>
          <w:bCs/>
        </w:rPr>
        <w:t>HP D2700</w:t>
      </w:r>
      <w:r w:rsidRPr="00C47BEC">
        <w:rPr>
          <w:rFonts w:ascii="Times New Roman" w:hAnsi="Times New Roman" w:cs="Times New Roman"/>
        </w:rPr>
        <w:t xml:space="preserve"> с дисками </w:t>
      </w:r>
      <w:r w:rsidRPr="00C47BEC">
        <w:rPr>
          <w:rFonts w:ascii="Times New Roman" w:hAnsi="Times New Roman" w:cs="Times New Roman"/>
          <w:lang w:val="en-US"/>
        </w:rPr>
        <w:t>HP</w:t>
      </w:r>
      <w:r w:rsidRPr="00C47BEC">
        <w:rPr>
          <w:rFonts w:ascii="Times New Roman" w:hAnsi="Times New Roman" w:cs="Times New Roman"/>
        </w:rPr>
        <w:t xml:space="preserve"> 1.2 </w:t>
      </w:r>
      <w:r w:rsidRPr="00C47BEC">
        <w:rPr>
          <w:rFonts w:ascii="Times New Roman" w:hAnsi="Times New Roman" w:cs="Times New Roman"/>
          <w:lang w:val="en-US"/>
        </w:rPr>
        <w:t>TB</w:t>
      </w:r>
      <w:r w:rsidRPr="00C47BEC">
        <w:rPr>
          <w:rFonts w:ascii="Times New Roman" w:hAnsi="Times New Roman" w:cs="Times New Roman"/>
        </w:rPr>
        <w:t xml:space="preserve"> 6</w:t>
      </w:r>
      <w:r w:rsidRPr="00C47BEC">
        <w:rPr>
          <w:rFonts w:ascii="Times New Roman" w:hAnsi="Times New Roman" w:cs="Times New Roman"/>
          <w:lang w:val="en-US"/>
        </w:rPr>
        <w:t>G</w:t>
      </w:r>
      <w:r w:rsidRPr="00C47BEC">
        <w:rPr>
          <w:rFonts w:ascii="Times New Roman" w:hAnsi="Times New Roman" w:cs="Times New Roman"/>
        </w:rPr>
        <w:t xml:space="preserve"> 10</w:t>
      </w:r>
      <w:r w:rsidRPr="00C47BEC">
        <w:rPr>
          <w:rFonts w:ascii="Times New Roman" w:hAnsi="Times New Roman" w:cs="Times New Roman"/>
          <w:lang w:val="en-US"/>
        </w:rPr>
        <w:t>K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b/>
          <w:bCs/>
          <w:lang w:val="en-US"/>
        </w:rPr>
        <w:t>SAS</w:t>
      </w:r>
      <w:r w:rsidRPr="00C47BEC">
        <w:rPr>
          <w:rFonts w:ascii="Times New Roman" w:hAnsi="Times New Roman" w:cs="Times New Roman"/>
        </w:rPr>
        <w:t xml:space="preserve">, более быстрыми и надежным. Одна полка </w:t>
      </w:r>
      <w:r w:rsidRPr="00C47BEC">
        <w:rPr>
          <w:rFonts w:ascii="Times New Roman" w:hAnsi="Times New Roman" w:cs="Times New Roman"/>
          <w:b/>
          <w:bCs/>
        </w:rPr>
        <w:t xml:space="preserve">HP D2700 подключена к серверу </w:t>
      </w:r>
      <w:r w:rsidRPr="00C47BEC">
        <w:rPr>
          <w:rFonts w:ascii="Times New Roman" w:hAnsi="Times New Roman" w:cs="Times New Roman"/>
          <w:b/>
          <w:bCs/>
          <w:lang w:val="en-US"/>
        </w:rPr>
        <w:t>HP</w:t>
      </w:r>
      <w:r w:rsidRPr="00C47BEC">
        <w:rPr>
          <w:rFonts w:ascii="Times New Roman" w:hAnsi="Times New Roman" w:cs="Times New Roman"/>
          <w:b/>
          <w:bCs/>
        </w:rPr>
        <w:t xml:space="preserve"> </w:t>
      </w:r>
      <w:r w:rsidRPr="00C47BEC">
        <w:rPr>
          <w:rFonts w:ascii="Times New Roman" w:hAnsi="Times New Roman" w:cs="Times New Roman"/>
          <w:b/>
          <w:bCs/>
          <w:lang w:val="en-US"/>
        </w:rPr>
        <w:t>DL</w:t>
      </w:r>
      <w:r w:rsidRPr="00C47BEC">
        <w:rPr>
          <w:rFonts w:ascii="Times New Roman" w:hAnsi="Times New Roman" w:cs="Times New Roman"/>
          <w:b/>
          <w:bCs/>
        </w:rPr>
        <w:t xml:space="preserve">980, а две к </w:t>
      </w:r>
      <w:r w:rsidRPr="00C47BEC">
        <w:rPr>
          <w:rFonts w:ascii="Times New Roman" w:hAnsi="Times New Roman" w:cs="Times New Roman"/>
          <w:b/>
          <w:bCs/>
          <w:lang w:val="en-US"/>
        </w:rPr>
        <w:t>IBRIX</w:t>
      </w:r>
      <w:r w:rsidRPr="00C47BEC">
        <w:rPr>
          <w:rFonts w:ascii="Times New Roman" w:hAnsi="Times New Roman" w:cs="Times New Roman"/>
          <w:b/>
          <w:bCs/>
        </w:rPr>
        <w:t xml:space="preserve"> (</w:t>
      </w:r>
      <w:r w:rsidRPr="00C47BEC">
        <w:rPr>
          <w:rFonts w:ascii="Times New Roman" w:hAnsi="Times New Roman" w:cs="Times New Roman"/>
          <w:b/>
          <w:bCs/>
          <w:lang w:val="en-US"/>
        </w:rPr>
        <w:t>BIOIFS</w:t>
      </w:r>
      <w:r w:rsidRPr="00C47BEC">
        <w:rPr>
          <w:rFonts w:ascii="Times New Roman" w:hAnsi="Times New Roman" w:cs="Times New Roman"/>
          <w:b/>
          <w:bCs/>
        </w:rPr>
        <w:t xml:space="preserve">). </w:t>
      </w:r>
      <w:r w:rsidRPr="00C47BEC">
        <w:rPr>
          <w:rFonts w:ascii="Times New Roman" w:hAnsi="Times New Roman" w:cs="Times New Roman"/>
        </w:rPr>
        <w:t xml:space="preserve">При этом добавилось около </w:t>
      </w:r>
      <w:r w:rsidRPr="00C47BEC">
        <w:rPr>
          <w:rFonts w:ascii="Times New Roman" w:hAnsi="Times New Roman" w:cs="Times New Roman"/>
          <w:b/>
          <w:bCs/>
        </w:rPr>
        <w:t xml:space="preserve">47 </w:t>
      </w:r>
      <w:r w:rsidRPr="00C47BEC">
        <w:rPr>
          <w:rFonts w:ascii="Times New Roman" w:hAnsi="Times New Roman" w:cs="Times New Roman"/>
        </w:rPr>
        <w:t xml:space="preserve">Тбайт внешней памяти, размер сегментов </w:t>
      </w:r>
      <w:r w:rsidRPr="00C47BEC">
        <w:rPr>
          <w:rFonts w:ascii="Times New Roman" w:hAnsi="Times New Roman" w:cs="Times New Roman"/>
          <w:lang w:val="en-US"/>
        </w:rPr>
        <w:t>IBRIX</w:t>
      </w:r>
      <w:r w:rsidRPr="00C47BEC">
        <w:rPr>
          <w:rFonts w:ascii="Times New Roman" w:hAnsi="Times New Roman" w:cs="Times New Roman"/>
        </w:rPr>
        <w:t xml:space="preserve"> на новых дисках составляет 5.9 Тбайт. Локальный дисковый массив на сервере </w:t>
      </w:r>
      <w:r w:rsidRPr="00C47BEC">
        <w:rPr>
          <w:rFonts w:ascii="Times New Roman" w:hAnsi="Times New Roman" w:cs="Times New Roman"/>
          <w:lang w:val="en-US"/>
        </w:rPr>
        <w:t>HP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DL</w:t>
      </w:r>
      <w:r w:rsidRPr="00C47BEC">
        <w:rPr>
          <w:rFonts w:ascii="Times New Roman" w:hAnsi="Times New Roman" w:cs="Times New Roman"/>
        </w:rPr>
        <w:t xml:space="preserve">980 позволяет частично снять нагрузку с файловой системы </w:t>
      </w:r>
      <w:r w:rsidRPr="00C47BEC">
        <w:rPr>
          <w:rFonts w:ascii="Times New Roman" w:hAnsi="Times New Roman" w:cs="Times New Roman"/>
          <w:lang w:val="en-US"/>
        </w:rPr>
        <w:t>IBRIX</w:t>
      </w:r>
      <w:r w:rsidRPr="00C47BEC">
        <w:rPr>
          <w:rFonts w:ascii="Times New Roman" w:hAnsi="Times New Roman" w:cs="Times New Roman"/>
        </w:rPr>
        <w:t>.  Эти решения позволили снять остроту проблемы.</w:t>
      </w:r>
    </w:p>
    <w:p w:rsidR="0086316F" w:rsidRDefault="0086316F" w:rsidP="00863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  <w:bCs/>
        </w:rPr>
        <w:t xml:space="preserve">Закуплен сервер </w:t>
      </w:r>
      <w:proofErr w:type="spellStart"/>
      <w:r w:rsidRPr="00C47BEC">
        <w:rPr>
          <w:rFonts w:ascii="Times New Roman" w:hAnsi="Times New Roman" w:cs="Times New Roman"/>
          <w:b/>
          <w:lang w:val="en-US"/>
        </w:rPr>
        <w:t>hp</w:t>
      </w:r>
      <w:proofErr w:type="spellEnd"/>
      <w:r w:rsidRPr="00C47BEC">
        <w:rPr>
          <w:rFonts w:ascii="Times New Roman" w:hAnsi="Times New Roman" w:cs="Times New Roman"/>
          <w:b/>
        </w:rPr>
        <w:t xml:space="preserve"> </w:t>
      </w:r>
      <w:r w:rsidRPr="00C47BEC">
        <w:rPr>
          <w:rFonts w:ascii="Times New Roman" w:hAnsi="Times New Roman" w:cs="Times New Roman"/>
          <w:b/>
          <w:lang w:val="en-US"/>
        </w:rPr>
        <w:t>ProLiant</w:t>
      </w:r>
      <w:r w:rsidRPr="00C47BEC">
        <w:rPr>
          <w:rFonts w:ascii="Times New Roman" w:hAnsi="Times New Roman" w:cs="Times New Roman"/>
          <w:b/>
        </w:rPr>
        <w:t xml:space="preserve"> </w:t>
      </w:r>
      <w:r w:rsidRPr="00C47BEC">
        <w:rPr>
          <w:rFonts w:ascii="Times New Roman" w:hAnsi="Times New Roman" w:cs="Times New Roman"/>
          <w:b/>
          <w:lang w:val="en-US"/>
        </w:rPr>
        <w:t>DL</w:t>
      </w:r>
      <w:r w:rsidRPr="00C47BEC">
        <w:rPr>
          <w:rFonts w:ascii="Times New Roman" w:hAnsi="Times New Roman" w:cs="Times New Roman"/>
          <w:b/>
        </w:rPr>
        <w:t xml:space="preserve">380 </w:t>
      </w:r>
      <w:r w:rsidRPr="00C47BEC">
        <w:rPr>
          <w:rFonts w:ascii="Times New Roman" w:hAnsi="Times New Roman" w:cs="Times New Roman"/>
          <w:b/>
          <w:lang w:val="en-US"/>
        </w:rPr>
        <w:t>G</w:t>
      </w:r>
      <w:r w:rsidRPr="00C47BEC">
        <w:rPr>
          <w:rFonts w:ascii="Times New Roman" w:hAnsi="Times New Roman" w:cs="Times New Roman"/>
          <w:b/>
        </w:rPr>
        <w:t xml:space="preserve">8, </w:t>
      </w:r>
      <w:r w:rsidRPr="00C47BEC">
        <w:rPr>
          <w:rFonts w:ascii="Times New Roman" w:hAnsi="Times New Roman" w:cs="Times New Roman"/>
        </w:rPr>
        <w:t xml:space="preserve">который будет использоваться для работы с </w:t>
      </w:r>
      <w:r w:rsidRPr="00C47BEC">
        <w:rPr>
          <w:rFonts w:ascii="Times New Roman" w:hAnsi="Times New Roman" w:cs="Times New Roman"/>
          <w:lang w:val="en-US"/>
        </w:rPr>
        <w:t>NVIDIA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Kepler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K</w:t>
      </w:r>
      <w:r w:rsidRPr="00C47BEC">
        <w:rPr>
          <w:rFonts w:ascii="Times New Roman" w:hAnsi="Times New Roman" w:cs="Times New Roman"/>
        </w:rPr>
        <w:t>40.</w:t>
      </w:r>
    </w:p>
    <w:p w:rsidR="0086316F" w:rsidRDefault="0086316F" w:rsidP="00863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 xml:space="preserve">В 2014 году закуплена академическая лицензия на </w:t>
      </w:r>
      <w:r w:rsidRPr="00C47BEC">
        <w:rPr>
          <w:rFonts w:ascii="Times New Roman" w:hAnsi="Times New Roman" w:cs="Times New Roman"/>
          <w:lang w:val="en-US"/>
        </w:rPr>
        <w:t>ANSYS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CFD</w:t>
      </w:r>
      <w:r w:rsidRPr="00C47BEC">
        <w:rPr>
          <w:rFonts w:ascii="Times New Roman" w:hAnsi="Times New Roman" w:cs="Times New Roman"/>
        </w:rPr>
        <w:t xml:space="preserve"> (без лицензий </w:t>
      </w:r>
      <w:r w:rsidRPr="00C47BEC">
        <w:rPr>
          <w:rFonts w:ascii="Times New Roman" w:hAnsi="Times New Roman" w:cs="Times New Roman"/>
          <w:lang w:val="en-US"/>
        </w:rPr>
        <w:t>HPC</w:t>
      </w:r>
      <w:r w:rsidRPr="00C47BEC">
        <w:rPr>
          <w:rFonts w:ascii="Times New Roman" w:hAnsi="Times New Roman" w:cs="Times New Roman"/>
        </w:rPr>
        <w:t>); коммерческая поддержка по этой лицензии заканчивается 14.12.2015</w:t>
      </w:r>
      <w:r>
        <w:rPr>
          <w:rFonts w:ascii="Times New Roman" w:hAnsi="Times New Roman" w:cs="Times New Roman"/>
        </w:rPr>
        <w:t>.</w:t>
      </w:r>
    </w:p>
    <w:p w:rsidR="0086316F" w:rsidRPr="001D784B" w:rsidRDefault="0086316F" w:rsidP="00863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 xml:space="preserve">Установлена версия </w:t>
      </w:r>
      <w:r w:rsidRPr="00C47BEC">
        <w:rPr>
          <w:rFonts w:ascii="Times New Roman" w:hAnsi="Times New Roman" w:cs="Times New Roman"/>
          <w:lang w:val="en-US"/>
        </w:rPr>
        <w:t>IBRIX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b/>
        </w:rPr>
        <w:t>6.1</w:t>
      </w:r>
      <w:r w:rsidRPr="00C47BEC">
        <w:rPr>
          <w:rFonts w:ascii="Times New Roman" w:hAnsi="Times New Roman" w:cs="Times New Roman"/>
        </w:rPr>
        <w:t xml:space="preserve">, была </w:t>
      </w:r>
      <w:r w:rsidRPr="00C47BEC">
        <w:rPr>
          <w:rFonts w:ascii="Times New Roman" w:hAnsi="Times New Roman" w:cs="Times New Roman"/>
          <w:b/>
        </w:rPr>
        <w:t>5.6.</w:t>
      </w:r>
    </w:p>
    <w:p w:rsidR="0086316F" w:rsidRPr="00C47BEC" w:rsidRDefault="0086316F" w:rsidP="00863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 xml:space="preserve">В январе 2014 года установлен коммерческий пакет </w:t>
      </w:r>
      <w:r w:rsidRPr="00C47BEC">
        <w:rPr>
          <w:rFonts w:ascii="Times New Roman" w:hAnsi="Times New Roman" w:cs="Times New Roman"/>
          <w:lang w:val="en-US"/>
        </w:rPr>
        <w:t>Gaussian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g</w:t>
      </w:r>
      <w:r w:rsidRPr="00C47BEC">
        <w:rPr>
          <w:rFonts w:ascii="Times New Roman" w:hAnsi="Times New Roman" w:cs="Times New Roman"/>
        </w:rPr>
        <w:t xml:space="preserve">09 </w:t>
      </w:r>
      <w:r w:rsidRPr="00C47BEC">
        <w:rPr>
          <w:rFonts w:ascii="Times New Roman" w:hAnsi="Times New Roman" w:cs="Times New Roman"/>
          <w:lang w:val="en-US"/>
        </w:rPr>
        <w:t>Rev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D</w:t>
      </w:r>
      <w:r w:rsidRPr="00C47BEC">
        <w:rPr>
          <w:rFonts w:ascii="Times New Roman" w:hAnsi="Times New Roman" w:cs="Times New Roman"/>
        </w:rPr>
        <w:t xml:space="preserve">.01 </w:t>
      </w:r>
      <w:r w:rsidRPr="00C47BEC">
        <w:rPr>
          <w:rFonts w:ascii="Times New Roman" w:hAnsi="Times New Roman" w:cs="Times New Roman"/>
          <w:lang w:val="en-US"/>
        </w:rPr>
        <w:t>w</w:t>
      </w:r>
      <w:r w:rsidRPr="00C47BEC">
        <w:rPr>
          <w:rFonts w:ascii="Times New Roman" w:hAnsi="Times New Roman" w:cs="Times New Roman"/>
        </w:rPr>
        <w:t>/</w:t>
      </w:r>
      <w:r w:rsidRPr="00C47BEC">
        <w:rPr>
          <w:rFonts w:ascii="Times New Roman" w:hAnsi="Times New Roman" w:cs="Times New Roman"/>
          <w:lang w:val="en-US"/>
        </w:rPr>
        <w:t>LINDA</w:t>
      </w:r>
      <w:r w:rsidRPr="00C47BEC">
        <w:rPr>
          <w:rFonts w:ascii="Times New Roman" w:hAnsi="Times New Roman" w:cs="Times New Roman"/>
        </w:rPr>
        <w:t xml:space="preserve">. </w:t>
      </w:r>
    </w:p>
    <w:p w:rsidR="0086316F" w:rsidRPr="00C47BEC" w:rsidRDefault="0086316F" w:rsidP="008631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 xml:space="preserve">Для программирования на </w:t>
      </w:r>
      <w:r w:rsidRPr="00C47BEC">
        <w:rPr>
          <w:rFonts w:ascii="Times New Roman" w:hAnsi="Times New Roman" w:cs="Times New Roman"/>
          <w:lang w:val="en-US"/>
        </w:rPr>
        <w:t>GPU</w:t>
      </w:r>
      <w:r w:rsidRPr="00C47BEC">
        <w:rPr>
          <w:rFonts w:ascii="Times New Roman" w:hAnsi="Times New Roman" w:cs="Times New Roman"/>
        </w:rPr>
        <w:t xml:space="preserve"> </w:t>
      </w:r>
      <w:proofErr w:type="spellStart"/>
      <w:r w:rsidRPr="00C47BEC">
        <w:rPr>
          <w:rFonts w:ascii="Times New Roman" w:hAnsi="Times New Roman" w:cs="Times New Roman"/>
          <w:lang w:val="en-US"/>
        </w:rPr>
        <w:t>Nvidia</w:t>
      </w:r>
      <w:proofErr w:type="spellEnd"/>
      <w:r w:rsidRPr="00C47BEC">
        <w:rPr>
          <w:rFonts w:ascii="Times New Roman" w:hAnsi="Times New Roman" w:cs="Times New Roman"/>
        </w:rPr>
        <w:t xml:space="preserve"> установлен </w:t>
      </w:r>
      <w:r w:rsidRPr="00C47BEC">
        <w:rPr>
          <w:rFonts w:ascii="Times New Roman" w:hAnsi="Times New Roman" w:cs="Times New Roman"/>
          <w:lang w:val="en-US"/>
        </w:rPr>
        <w:t>CUDA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Toolkit</w:t>
      </w:r>
      <w:r w:rsidRPr="00C47BEC">
        <w:rPr>
          <w:rFonts w:ascii="Times New Roman" w:hAnsi="Times New Roman" w:cs="Times New Roman"/>
        </w:rPr>
        <w:t xml:space="preserve"> 6.5 и </w:t>
      </w:r>
      <w:r w:rsidRPr="00C47BEC">
        <w:rPr>
          <w:rFonts w:ascii="Times New Roman" w:hAnsi="Times New Roman" w:cs="Times New Roman"/>
          <w:lang w:val="en-US"/>
        </w:rPr>
        <w:t>PGI</w:t>
      </w:r>
      <w:r w:rsidRPr="00C47BEC">
        <w:rPr>
          <w:rFonts w:ascii="Times New Roman" w:hAnsi="Times New Roman" w:cs="Times New Roman"/>
        </w:rPr>
        <w:t xml:space="preserve"> </w:t>
      </w:r>
      <w:r w:rsidRPr="00C47BEC">
        <w:rPr>
          <w:rFonts w:ascii="Times New Roman" w:hAnsi="Times New Roman" w:cs="Times New Roman"/>
          <w:lang w:val="en-US"/>
        </w:rPr>
        <w:t>Accelerator</w:t>
      </w:r>
      <w:r w:rsidRPr="00C47BEC">
        <w:rPr>
          <w:rFonts w:ascii="Times New Roman" w:hAnsi="Times New Roman" w:cs="Times New Roman"/>
        </w:rPr>
        <w:t xml:space="preserve"> версии 14.9.</w:t>
      </w:r>
    </w:p>
    <w:p w:rsidR="0086316F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lastRenderedPageBreak/>
        <w:t xml:space="preserve">Для выбора пути развития архитектуры суперкомпьютеров ЦКП ССКЦ был использован программный код </w:t>
      </w:r>
      <w:proofErr w:type="spellStart"/>
      <w:r w:rsidRPr="00702621">
        <w:rPr>
          <w:rFonts w:ascii="Times New Roman" w:hAnsi="Times New Roman" w:cs="Times New Roman"/>
        </w:rPr>
        <w:t>AstroPhi</w:t>
      </w:r>
      <w:proofErr w:type="spellEnd"/>
      <w:r w:rsidRPr="00702621">
        <w:rPr>
          <w:rFonts w:ascii="Times New Roman" w:hAnsi="Times New Roman" w:cs="Times New Roman"/>
        </w:rPr>
        <w:t xml:space="preserve">, разработанный в </w:t>
      </w:r>
      <w:proofErr w:type="spellStart"/>
      <w:r w:rsidRPr="00702621">
        <w:rPr>
          <w:rFonts w:ascii="Times New Roman" w:hAnsi="Times New Roman" w:cs="Times New Roman"/>
        </w:rPr>
        <w:t>ИВМиМГ</w:t>
      </w:r>
      <w:proofErr w:type="spellEnd"/>
      <w:r w:rsidRPr="00702621">
        <w:rPr>
          <w:rFonts w:ascii="Times New Roman" w:hAnsi="Times New Roman" w:cs="Times New Roman"/>
        </w:rPr>
        <w:t xml:space="preserve"> СО РАН. </w:t>
      </w:r>
      <w:proofErr w:type="spellStart"/>
      <w:r w:rsidRPr="00702621">
        <w:rPr>
          <w:rFonts w:ascii="Times New Roman" w:hAnsi="Times New Roman" w:cs="Times New Roman"/>
        </w:rPr>
        <w:t>AstroPhi</w:t>
      </w:r>
      <w:proofErr w:type="spellEnd"/>
      <w:r w:rsidRPr="00702621">
        <w:rPr>
          <w:rFonts w:ascii="Times New Roman" w:hAnsi="Times New Roman" w:cs="Times New Roman"/>
        </w:rPr>
        <w:t xml:space="preserve"> предназначен для численного моделирования астрофизических процессов на гибридных </w:t>
      </w:r>
      <w:proofErr w:type="spellStart"/>
      <w:r w:rsidRPr="00702621">
        <w:rPr>
          <w:rFonts w:ascii="Times New Roman" w:hAnsi="Times New Roman" w:cs="Times New Roman"/>
        </w:rPr>
        <w:t>суперЭВМ</w:t>
      </w:r>
      <w:proofErr w:type="spellEnd"/>
      <w:r w:rsidRPr="00702621">
        <w:rPr>
          <w:rFonts w:ascii="Times New Roman" w:hAnsi="Times New Roman" w:cs="Times New Roman"/>
        </w:rPr>
        <w:t xml:space="preserve">, оснащенных ускорителями </w:t>
      </w:r>
      <w:proofErr w:type="spellStart"/>
      <w:r w:rsidRPr="00702621">
        <w:rPr>
          <w:rFonts w:ascii="Times New Roman" w:hAnsi="Times New Roman" w:cs="Times New Roman"/>
        </w:rPr>
        <w:t>Intel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Xeon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Phi</w:t>
      </w:r>
      <w:proofErr w:type="spellEnd"/>
      <w:r w:rsidRPr="00702621">
        <w:rPr>
          <w:rFonts w:ascii="Times New Roman" w:hAnsi="Times New Roman" w:cs="Times New Roman"/>
        </w:rPr>
        <w:t>. Задачи динамики астрофизических объектов являются одними из наиболее требовательны</w:t>
      </w:r>
      <w:r>
        <w:rPr>
          <w:rFonts w:ascii="Times New Roman" w:hAnsi="Times New Roman" w:cs="Times New Roman"/>
        </w:rPr>
        <w:t>ми</w:t>
      </w:r>
      <w:r w:rsidRPr="00702621">
        <w:rPr>
          <w:rFonts w:ascii="Times New Roman" w:hAnsi="Times New Roman" w:cs="Times New Roman"/>
        </w:rPr>
        <w:t xml:space="preserve"> к аппаратным ресурсам и могут быть использованы для тестов с целью определения вектора развития суперкомпьютерной техники на которой будут разрабатываться алгоритмы и программное обеспечение для </w:t>
      </w:r>
      <w:r>
        <w:rPr>
          <w:rFonts w:ascii="Times New Roman" w:hAnsi="Times New Roman" w:cs="Times New Roman"/>
        </w:rPr>
        <w:t xml:space="preserve">пета- и </w:t>
      </w:r>
      <w:proofErr w:type="spellStart"/>
      <w:r>
        <w:rPr>
          <w:rFonts w:ascii="Times New Roman" w:hAnsi="Times New Roman" w:cs="Times New Roman"/>
        </w:rPr>
        <w:t>эксафлопсных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супер-ЭВМ</w:t>
      </w:r>
      <w:proofErr w:type="spellEnd"/>
      <w:r>
        <w:rPr>
          <w:rFonts w:ascii="Times New Roman" w:hAnsi="Times New Roman" w:cs="Times New Roman"/>
        </w:rPr>
        <w:t>.</w:t>
      </w:r>
    </w:p>
    <w:p w:rsidR="0086316F" w:rsidRPr="00702621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 xml:space="preserve">Для тестовых запусков были использованы кластеры МСЦ СО РАН и инженерные версии суперкомпьютеров с архитектурой </w:t>
      </w:r>
      <w:proofErr w:type="spellStart"/>
      <w:r w:rsidRPr="00702621">
        <w:rPr>
          <w:rFonts w:ascii="Times New Roman" w:hAnsi="Times New Roman" w:cs="Times New Roman"/>
        </w:rPr>
        <w:t>PetaStream</w:t>
      </w:r>
      <w:proofErr w:type="spellEnd"/>
      <w:r w:rsidRPr="00702621">
        <w:rPr>
          <w:rFonts w:ascii="Times New Roman" w:hAnsi="Times New Roman" w:cs="Times New Roman"/>
        </w:rPr>
        <w:t xml:space="preserve"> ЗАО РСК. В рамках запуска на одном ускорителе вычислений </w:t>
      </w:r>
      <w:proofErr w:type="spellStart"/>
      <w:r w:rsidRPr="00702621">
        <w:rPr>
          <w:rFonts w:ascii="Times New Roman" w:hAnsi="Times New Roman" w:cs="Times New Roman"/>
        </w:rPr>
        <w:t>Intel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Xeon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Phi</w:t>
      </w:r>
      <w:proofErr w:type="spellEnd"/>
      <w:r w:rsidRPr="00702621">
        <w:rPr>
          <w:rFonts w:ascii="Times New Roman" w:hAnsi="Times New Roman" w:cs="Times New Roman"/>
        </w:rPr>
        <w:t xml:space="preserve"> было получено 27-кратное ускорение в </w:t>
      </w:r>
      <w:proofErr w:type="spellStart"/>
      <w:r w:rsidRPr="00702621">
        <w:rPr>
          <w:rFonts w:ascii="Times New Roman" w:hAnsi="Times New Roman" w:cs="Times New Roman"/>
        </w:rPr>
        <w:t>offload</w:t>
      </w:r>
      <w:proofErr w:type="spellEnd"/>
      <w:r w:rsidRPr="00702621">
        <w:rPr>
          <w:rFonts w:ascii="Times New Roman" w:hAnsi="Times New Roman" w:cs="Times New Roman"/>
        </w:rPr>
        <w:t xml:space="preserve"> режиме и 53-кратное ускорение в </w:t>
      </w:r>
      <w:proofErr w:type="spellStart"/>
      <w:r w:rsidRPr="00702621">
        <w:rPr>
          <w:rFonts w:ascii="Times New Roman" w:hAnsi="Times New Roman" w:cs="Times New Roman"/>
        </w:rPr>
        <w:t>native</w:t>
      </w:r>
      <w:proofErr w:type="spellEnd"/>
      <w:r w:rsidRPr="00702621">
        <w:rPr>
          <w:rFonts w:ascii="Times New Roman" w:hAnsi="Times New Roman" w:cs="Times New Roman"/>
        </w:rPr>
        <w:t xml:space="preserve"> режиме. При тестовых запусках на 32 ускорителях </w:t>
      </w:r>
      <w:proofErr w:type="spellStart"/>
      <w:r w:rsidRPr="00702621">
        <w:rPr>
          <w:rFonts w:ascii="Times New Roman" w:hAnsi="Times New Roman" w:cs="Times New Roman"/>
        </w:rPr>
        <w:t>Intel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Xeon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Phi</w:t>
      </w:r>
      <w:proofErr w:type="spellEnd"/>
      <w:r w:rsidRPr="00702621">
        <w:rPr>
          <w:rFonts w:ascii="Times New Roman" w:hAnsi="Times New Roman" w:cs="Times New Roman"/>
        </w:rPr>
        <w:t xml:space="preserve"> была получена 94-процентная эффективность масштабирования кода. Благодаря тестам была показана высокая эффективность сверхплотной архитектуры RSC </w:t>
      </w:r>
      <w:proofErr w:type="spellStart"/>
      <w:r w:rsidRPr="00702621">
        <w:rPr>
          <w:rFonts w:ascii="Times New Roman" w:hAnsi="Times New Roman" w:cs="Times New Roman"/>
        </w:rPr>
        <w:t>PetaStream</w:t>
      </w:r>
      <w:proofErr w:type="spellEnd"/>
      <w:r w:rsidRPr="00702621">
        <w:rPr>
          <w:rFonts w:ascii="Times New Roman" w:hAnsi="Times New Roman" w:cs="Times New Roman"/>
        </w:rPr>
        <w:t xml:space="preserve">, основанной на использовании ускорителей вычислений </w:t>
      </w:r>
      <w:proofErr w:type="spellStart"/>
      <w:r w:rsidRPr="00702621">
        <w:rPr>
          <w:rFonts w:ascii="Times New Roman" w:hAnsi="Times New Roman" w:cs="Times New Roman"/>
        </w:rPr>
        <w:t>Intel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Xeon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Phi</w:t>
      </w:r>
      <w:proofErr w:type="spellEnd"/>
      <w:r w:rsidRPr="00702621">
        <w:rPr>
          <w:rFonts w:ascii="Times New Roman" w:hAnsi="Times New Roman" w:cs="Times New Roman"/>
        </w:rPr>
        <w:t xml:space="preserve"> для построения </w:t>
      </w:r>
      <w:proofErr w:type="spellStart"/>
      <w:r w:rsidRPr="00702621">
        <w:rPr>
          <w:rFonts w:ascii="Times New Roman" w:hAnsi="Times New Roman" w:cs="Times New Roman"/>
        </w:rPr>
        <w:t>сверхмасштабируемых</w:t>
      </w:r>
      <w:proofErr w:type="spellEnd"/>
      <w:r w:rsidRPr="00702621">
        <w:rPr>
          <w:rFonts w:ascii="Times New Roman" w:hAnsi="Times New Roman" w:cs="Times New Roman"/>
        </w:rPr>
        <w:t xml:space="preserve"> приложений.</w:t>
      </w:r>
    </w:p>
    <w:p w:rsidR="0086316F" w:rsidRPr="00A66D57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 xml:space="preserve">По результатам проведенных исследований совместно с ЗАО «Российская суперкомпьютерная компания» разработана первая очередь расширения вычислительных мощностей ССКЦ. Разработаны технические предложения на создание нового кластера на современных компонентах (серверные процессоры </w:t>
      </w:r>
      <w:proofErr w:type="spellStart"/>
      <w:r w:rsidRPr="00702621">
        <w:rPr>
          <w:rFonts w:ascii="Times New Roman" w:hAnsi="Times New Roman" w:cs="Times New Roman"/>
        </w:rPr>
        <w:t>Intel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Xeon</w:t>
      </w:r>
      <w:proofErr w:type="spellEnd"/>
      <w:r w:rsidRPr="00702621">
        <w:rPr>
          <w:rFonts w:ascii="Times New Roman" w:hAnsi="Times New Roman" w:cs="Times New Roman"/>
        </w:rPr>
        <w:t xml:space="preserve"> E5v3 (</w:t>
      </w:r>
      <w:proofErr w:type="spellStart"/>
      <w:r w:rsidRPr="00702621">
        <w:rPr>
          <w:rFonts w:ascii="Times New Roman" w:hAnsi="Times New Roman" w:cs="Times New Roman"/>
        </w:rPr>
        <w:t>Haswell</w:t>
      </w:r>
      <w:proofErr w:type="spellEnd"/>
      <w:r w:rsidRPr="00702621">
        <w:rPr>
          <w:rFonts w:ascii="Times New Roman" w:hAnsi="Times New Roman" w:cs="Times New Roman"/>
        </w:rPr>
        <w:t xml:space="preserve">) и </w:t>
      </w:r>
      <w:proofErr w:type="gramStart"/>
      <w:r w:rsidRPr="00702621">
        <w:rPr>
          <w:rFonts w:ascii="Times New Roman" w:hAnsi="Times New Roman" w:cs="Times New Roman"/>
        </w:rPr>
        <w:t>со-процессоры</w:t>
      </w:r>
      <w:proofErr w:type="gram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Intel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Xeon</w:t>
      </w:r>
      <w:proofErr w:type="spellEnd"/>
      <w:r w:rsidRPr="00702621">
        <w:rPr>
          <w:rFonts w:ascii="Times New Roman" w:hAnsi="Times New Roman" w:cs="Times New Roman"/>
        </w:rPr>
        <w:t xml:space="preserve"> </w:t>
      </w:r>
      <w:proofErr w:type="spellStart"/>
      <w:r w:rsidRPr="00702621">
        <w:rPr>
          <w:rFonts w:ascii="Times New Roman" w:hAnsi="Times New Roman" w:cs="Times New Roman"/>
        </w:rPr>
        <w:t>Phi</w:t>
      </w:r>
      <w:proofErr w:type="spellEnd"/>
      <w:r w:rsidRPr="00702621">
        <w:rPr>
          <w:rFonts w:ascii="Times New Roman" w:hAnsi="Times New Roman" w:cs="Times New Roman"/>
        </w:rPr>
        <w:t xml:space="preserve"> 7120D, оперативная память – 128 </w:t>
      </w:r>
      <w:proofErr w:type="spellStart"/>
      <w:r w:rsidRPr="00702621">
        <w:rPr>
          <w:rFonts w:ascii="Times New Roman" w:hAnsi="Times New Roman" w:cs="Times New Roman"/>
        </w:rPr>
        <w:t>ГБайт</w:t>
      </w:r>
      <w:proofErr w:type="spellEnd"/>
      <w:r w:rsidRPr="00702621">
        <w:rPr>
          <w:rFonts w:ascii="Times New Roman" w:hAnsi="Times New Roman" w:cs="Times New Roman"/>
        </w:rPr>
        <w:t xml:space="preserve"> DDR4) с водяным охлаждением. Производительность кластера составит 300 </w:t>
      </w:r>
      <w:proofErr w:type="spellStart"/>
      <w:r w:rsidRPr="00702621">
        <w:rPr>
          <w:rFonts w:ascii="Times New Roman" w:hAnsi="Times New Roman" w:cs="Times New Roman"/>
        </w:rPr>
        <w:t>Tфлопс</w:t>
      </w:r>
      <w:proofErr w:type="spellEnd"/>
      <w:r w:rsidRPr="00702621">
        <w:rPr>
          <w:rFonts w:ascii="Times New Roman" w:hAnsi="Times New Roman" w:cs="Times New Roman"/>
        </w:rPr>
        <w:t>.</w:t>
      </w:r>
    </w:p>
    <w:p w:rsidR="0086316F" w:rsidRPr="00702621" w:rsidRDefault="0086316F" w:rsidP="008631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02621">
        <w:rPr>
          <w:rFonts w:ascii="Times New Roman" w:hAnsi="Times New Roman" w:cs="Times New Roman"/>
        </w:rPr>
        <w:t xml:space="preserve">Разработана и исследуется имитационная модель системы управления потоком заданий для центров коллективного пользования (ЦКП) на основе </w:t>
      </w:r>
      <w:proofErr w:type="spellStart"/>
      <w:r w:rsidRPr="00702621">
        <w:rPr>
          <w:rFonts w:ascii="Times New Roman" w:hAnsi="Times New Roman" w:cs="Times New Roman"/>
        </w:rPr>
        <w:t>мультиагентного</w:t>
      </w:r>
      <w:proofErr w:type="spellEnd"/>
      <w:r w:rsidRPr="00702621">
        <w:rPr>
          <w:rFonts w:ascii="Times New Roman" w:hAnsi="Times New Roman" w:cs="Times New Roman"/>
        </w:rPr>
        <w:t xml:space="preserve"> подхода. Разработанная модель системы управления потоком задач включает в себя программные агенты, реализующие модели: внешних источников задач, распределителей и контроллеров ресурсов, вычислительных систем.</w:t>
      </w:r>
    </w:p>
    <w:p w:rsidR="0086316F" w:rsidRPr="00702621" w:rsidRDefault="0086316F" w:rsidP="0086316F">
      <w:pPr>
        <w:ind w:firstLine="720"/>
        <w:jc w:val="both"/>
        <w:rPr>
          <w:rFonts w:ascii="Times New Roman" w:hAnsi="Times New Roman" w:cs="Times New Roman"/>
          <w:bCs/>
        </w:rPr>
      </w:pPr>
      <w:r w:rsidRPr="00702621">
        <w:rPr>
          <w:rFonts w:ascii="Times New Roman" w:hAnsi="Times New Roman" w:cs="Times New Roman"/>
        </w:rPr>
        <w:t>Исследование модели проводятся над реал</w:t>
      </w:r>
      <w:r>
        <w:rPr>
          <w:rFonts w:ascii="Times New Roman" w:hAnsi="Times New Roman" w:cs="Times New Roman"/>
        </w:rPr>
        <w:t>ьными данными.</w:t>
      </w:r>
      <w:r w:rsidRPr="00702621">
        <w:rPr>
          <w:rFonts w:ascii="Times New Roman" w:hAnsi="Times New Roman" w:cs="Times New Roman"/>
        </w:rPr>
        <w:t xml:space="preserve"> Для этого использовались данные ЦКП ССКЦ СО РАН. Была воссоздана коммуникационная среда кластера НКС-30Т+GPU. На вход имитационной модели пускались задания, зарегистрированные системой управления кластера (PBS </w:t>
      </w:r>
      <w:proofErr w:type="spellStart"/>
      <w:r w:rsidRPr="00702621">
        <w:rPr>
          <w:rFonts w:ascii="Times New Roman" w:hAnsi="Times New Roman" w:cs="Times New Roman"/>
        </w:rPr>
        <w:t>Pro</w:t>
      </w:r>
      <w:proofErr w:type="spellEnd"/>
      <w:r w:rsidRPr="00702621">
        <w:rPr>
          <w:rFonts w:ascii="Times New Roman" w:hAnsi="Times New Roman" w:cs="Times New Roman"/>
        </w:rPr>
        <w:t>) за 2011 - 2013 гг.</w:t>
      </w:r>
    </w:p>
    <w:p w:rsidR="0086316F" w:rsidRPr="00702621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>Для демонстрации работы имитационной модели системы управления потоками заданий и подобранных алгоритмов планирования на основе данных статистики были произведены 3 опыта:</w:t>
      </w:r>
    </w:p>
    <w:p w:rsidR="0086316F" w:rsidRPr="00C47BEC" w:rsidRDefault="0086316F" w:rsidP="008631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>моделирование загрузки ЦКП в случае, когда задания в очереди, по желанию пользователей, без использования генетического алгоритма формирования расписаний;</w:t>
      </w:r>
    </w:p>
    <w:p w:rsidR="0086316F" w:rsidRPr="00C47BEC" w:rsidRDefault="0086316F" w:rsidP="008631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>те же условия, но в работу включился генетический алгоритм;</w:t>
      </w:r>
    </w:p>
    <w:p w:rsidR="0086316F" w:rsidRPr="00C47BEC" w:rsidRDefault="0086316F" w:rsidP="0086316F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C47BEC">
        <w:rPr>
          <w:rFonts w:ascii="Times New Roman" w:hAnsi="Times New Roman" w:cs="Times New Roman"/>
        </w:rPr>
        <w:t>те же условия, но модель системы самостоятельно распределяло задания по очередям.</w:t>
      </w:r>
    </w:p>
    <w:p w:rsidR="0086316F" w:rsidRPr="00702621" w:rsidRDefault="0086316F" w:rsidP="0086316F">
      <w:pPr>
        <w:ind w:firstLine="720"/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>Запуски модели с данными параметрами показали, что:</w:t>
      </w:r>
    </w:p>
    <w:p w:rsidR="0086316F" w:rsidRPr="00702621" w:rsidRDefault="0086316F" w:rsidP="0086316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>принимаемые управленческие решения позволяют сократить среднее время ожидания начала вы</w:t>
      </w:r>
      <w:r>
        <w:rPr>
          <w:rFonts w:ascii="Times New Roman" w:hAnsi="Times New Roman" w:cs="Times New Roman"/>
        </w:rPr>
        <w:t>полнения задания на 1-10% (рис ниже</w:t>
      </w:r>
      <w:r w:rsidRPr="00702621">
        <w:rPr>
          <w:rFonts w:ascii="Times New Roman" w:hAnsi="Times New Roman" w:cs="Times New Roman"/>
        </w:rPr>
        <w:t xml:space="preserve">). </w:t>
      </w:r>
    </w:p>
    <w:p w:rsidR="0086316F" w:rsidRPr="00702621" w:rsidRDefault="0086316F" w:rsidP="0086316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>задания отправляются на менее загруженный из подходящих кластеров.</w:t>
      </w:r>
    </w:p>
    <w:p w:rsidR="0086316F" w:rsidRPr="00702621" w:rsidRDefault="0086316F" w:rsidP="0086316F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02621">
        <w:rPr>
          <w:rFonts w:ascii="Times New Roman" w:hAnsi="Times New Roman" w:cs="Times New Roman"/>
        </w:rPr>
        <w:t>задания располагаются в вычислительной системе более рационально, т.к. при постановке их на выполнение учитывается карта сети связи.</w:t>
      </w:r>
    </w:p>
    <w:p w:rsidR="0086316F" w:rsidRPr="00702621" w:rsidRDefault="0086316F" w:rsidP="0086316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5694045" cy="18757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16F" w:rsidRDefault="0086316F" w:rsidP="0086316F">
      <w:pPr>
        <w:jc w:val="center"/>
        <w:rPr>
          <w:rFonts w:ascii="Times New Roman" w:hAnsi="Times New Roman" w:cs="Times New Roman"/>
          <w:bCs/>
        </w:rPr>
      </w:pPr>
      <w:r w:rsidRPr="00702621">
        <w:rPr>
          <w:rFonts w:ascii="Times New Roman" w:hAnsi="Times New Roman" w:cs="Times New Roman"/>
          <w:bCs/>
        </w:rPr>
        <w:t>Результаты запуска модели ЦКП - изменение среднего времени ожидания в очереди заданий для различных опытов.</w:t>
      </w:r>
    </w:p>
    <w:p w:rsidR="0086316F" w:rsidRDefault="0086316F" w:rsidP="0086316F">
      <w:pPr>
        <w:jc w:val="center"/>
        <w:rPr>
          <w:rFonts w:ascii="Times New Roman" w:hAnsi="Times New Roman" w:cs="Times New Roman"/>
          <w:bCs/>
        </w:rPr>
      </w:pPr>
    </w:p>
    <w:p w:rsidR="0086316F" w:rsidRPr="00702621" w:rsidRDefault="0086316F" w:rsidP="0086316F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702621">
        <w:rPr>
          <w:rFonts w:ascii="Times New Roman" w:hAnsi="Times New Roman" w:cs="Times New Roman"/>
          <w:bCs/>
        </w:rPr>
        <w:t xml:space="preserve">В результате тестирования реализованного на предыдущем этапе работ ФДН-метода была построена имитационная модель решателя. В результате анализа модели и обработки литературных данных принято решение об оптимизации решателя для задач, где жесткая система ОДУ низко связана. Благодаря разреженности матриц многие операции, такие как вычисление правых частиц, матриц Якоби, LU разложение и прямые/обратные подстановки могут быть выполнены параллельно. Также было принято решение развивать параллельно две версии решателям – для GPU и для ускорителей </w:t>
      </w:r>
      <w:proofErr w:type="spellStart"/>
      <w:r w:rsidRPr="00702621">
        <w:rPr>
          <w:rFonts w:ascii="Times New Roman" w:hAnsi="Times New Roman" w:cs="Times New Roman"/>
          <w:bCs/>
        </w:rPr>
        <w:t>Intel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Xeon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Phi</w:t>
      </w:r>
      <w:proofErr w:type="spellEnd"/>
      <w:r w:rsidRPr="00702621">
        <w:rPr>
          <w:rFonts w:ascii="Times New Roman" w:hAnsi="Times New Roman" w:cs="Times New Roman"/>
          <w:bCs/>
        </w:rPr>
        <w:t>.</w:t>
      </w:r>
    </w:p>
    <w:p w:rsidR="0086316F" w:rsidRPr="00702621" w:rsidRDefault="0086316F" w:rsidP="0086316F">
      <w:pPr>
        <w:ind w:firstLine="720"/>
        <w:rPr>
          <w:rFonts w:ascii="Times New Roman" w:hAnsi="Times New Roman" w:cs="Times New Roman"/>
          <w:bCs/>
        </w:rPr>
      </w:pPr>
      <w:r w:rsidRPr="00702621">
        <w:rPr>
          <w:rFonts w:ascii="Times New Roman" w:hAnsi="Times New Roman" w:cs="Times New Roman"/>
          <w:bCs/>
        </w:rPr>
        <w:t xml:space="preserve">Доработка ФДН-метода с целью оптимизации вычислений на </w:t>
      </w:r>
      <w:proofErr w:type="spellStart"/>
      <w:r w:rsidRPr="00702621">
        <w:rPr>
          <w:rFonts w:ascii="Times New Roman" w:hAnsi="Times New Roman" w:cs="Times New Roman"/>
          <w:bCs/>
        </w:rPr>
        <w:t>суперЭВМ</w:t>
      </w:r>
      <w:proofErr w:type="spellEnd"/>
      <w:r w:rsidRPr="00702621">
        <w:rPr>
          <w:rFonts w:ascii="Times New Roman" w:hAnsi="Times New Roman" w:cs="Times New Roman"/>
          <w:bCs/>
        </w:rPr>
        <w:t xml:space="preserve"> сверхвысокой производительности касалась переноса кода на </w:t>
      </w:r>
      <w:proofErr w:type="spellStart"/>
      <w:r w:rsidRPr="00702621">
        <w:rPr>
          <w:rFonts w:ascii="Times New Roman" w:hAnsi="Times New Roman" w:cs="Times New Roman"/>
          <w:bCs/>
        </w:rPr>
        <w:t>Intel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Xeon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Phi</w:t>
      </w:r>
      <w:proofErr w:type="spellEnd"/>
      <w:r w:rsidRPr="00702621">
        <w:rPr>
          <w:rFonts w:ascii="Times New Roman" w:hAnsi="Times New Roman" w:cs="Times New Roman"/>
          <w:bCs/>
        </w:rPr>
        <w:t xml:space="preserve"> и проведения необходимых тестов с целью отладки решателя и оптимизации скорости работы. В качестве первого этапа был использован </w:t>
      </w:r>
      <w:proofErr w:type="spellStart"/>
      <w:r w:rsidRPr="00702621">
        <w:rPr>
          <w:rFonts w:ascii="Times New Roman" w:hAnsi="Times New Roman" w:cs="Times New Roman"/>
          <w:bCs/>
        </w:rPr>
        <w:t>offload</w:t>
      </w:r>
      <w:proofErr w:type="spellEnd"/>
      <w:r w:rsidRPr="00702621">
        <w:rPr>
          <w:rFonts w:ascii="Times New Roman" w:hAnsi="Times New Roman" w:cs="Times New Roman"/>
          <w:bCs/>
        </w:rPr>
        <w:t xml:space="preserve"> режим работы ускорителя вычислений </w:t>
      </w:r>
      <w:proofErr w:type="spellStart"/>
      <w:r w:rsidRPr="00702621">
        <w:rPr>
          <w:rFonts w:ascii="Times New Roman" w:hAnsi="Times New Roman" w:cs="Times New Roman"/>
          <w:bCs/>
        </w:rPr>
        <w:t>Intel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Xeon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Phi</w:t>
      </w:r>
      <w:proofErr w:type="spellEnd"/>
      <w:r w:rsidRPr="00702621">
        <w:rPr>
          <w:rFonts w:ascii="Times New Roman" w:hAnsi="Times New Roman" w:cs="Times New Roman"/>
          <w:bCs/>
        </w:rPr>
        <w:t>. Показа</w:t>
      </w:r>
      <w:r>
        <w:rPr>
          <w:rFonts w:ascii="Times New Roman" w:hAnsi="Times New Roman" w:cs="Times New Roman"/>
          <w:bCs/>
        </w:rPr>
        <w:t>н</w:t>
      </w:r>
      <w:r w:rsidRPr="00702621">
        <w:rPr>
          <w:rFonts w:ascii="Times New Roman" w:hAnsi="Times New Roman" w:cs="Times New Roman"/>
          <w:bCs/>
        </w:rPr>
        <w:t xml:space="preserve"> трехкратный рост производительности на одном </w:t>
      </w:r>
      <w:proofErr w:type="spellStart"/>
      <w:r w:rsidRPr="00702621">
        <w:rPr>
          <w:rFonts w:ascii="Times New Roman" w:hAnsi="Times New Roman" w:cs="Times New Roman"/>
          <w:bCs/>
        </w:rPr>
        <w:t>Intel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Xeon</w:t>
      </w:r>
      <w:proofErr w:type="spellEnd"/>
      <w:r w:rsidRPr="00702621">
        <w:rPr>
          <w:rFonts w:ascii="Times New Roman" w:hAnsi="Times New Roman" w:cs="Times New Roman"/>
          <w:bCs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</w:rPr>
        <w:t>Phi</w:t>
      </w:r>
      <w:proofErr w:type="spellEnd"/>
      <w:r w:rsidRPr="00702621">
        <w:rPr>
          <w:rFonts w:ascii="Times New Roman" w:hAnsi="Times New Roman" w:cs="Times New Roman"/>
          <w:bCs/>
        </w:rPr>
        <w:t xml:space="preserve"> по сравнению с одним ускорителем NVIDIA </w:t>
      </w:r>
      <w:proofErr w:type="spellStart"/>
      <w:r w:rsidRPr="00702621">
        <w:rPr>
          <w:rFonts w:ascii="Times New Roman" w:hAnsi="Times New Roman" w:cs="Times New Roman"/>
          <w:bCs/>
        </w:rPr>
        <w:t>Tesla</w:t>
      </w:r>
      <w:proofErr w:type="spellEnd"/>
      <w:r w:rsidRPr="00702621">
        <w:rPr>
          <w:rFonts w:ascii="Times New Roman" w:hAnsi="Times New Roman" w:cs="Times New Roman"/>
          <w:bCs/>
        </w:rPr>
        <w:t xml:space="preserve"> 2090M.</w:t>
      </w:r>
    </w:p>
    <w:p w:rsidR="0086316F" w:rsidRPr="00702621" w:rsidRDefault="0086316F" w:rsidP="0086316F">
      <w:pPr>
        <w:ind w:firstLine="720"/>
        <w:rPr>
          <w:rFonts w:ascii="Times New Roman" w:hAnsi="Times New Roman" w:cs="Times New Roman"/>
          <w:bCs/>
        </w:rPr>
      </w:pPr>
      <w:r w:rsidRPr="00702621">
        <w:rPr>
          <w:rFonts w:ascii="Times New Roman" w:hAnsi="Times New Roman" w:cs="Times New Roman"/>
          <w:bCs/>
        </w:rPr>
        <w:t xml:space="preserve">Для реализации обратного метода решения кинетических задач была разработана спецификация входных/выходных данных решателей пакета </w:t>
      </w:r>
      <w:proofErr w:type="spellStart"/>
      <w:r w:rsidRPr="00702621">
        <w:rPr>
          <w:rFonts w:ascii="Times New Roman" w:hAnsi="Times New Roman" w:cs="Times New Roman"/>
          <w:bCs/>
        </w:rPr>
        <w:t>ChemPAK</w:t>
      </w:r>
      <w:proofErr w:type="spellEnd"/>
      <w:r w:rsidRPr="00702621">
        <w:rPr>
          <w:rFonts w:ascii="Times New Roman" w:hAnsi="Times New Roman" w:cs="Times New Roman"/>
          <w:bCs/>
        </w:rPr>
        <w:t>. С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учетом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спецификации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начата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разработка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метода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на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основе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r w:rsidRPr="00702621">
        <w:rPr>
          <w:rFonts w:ascii="Times New Roman" w:hAnsi="Times New Roman" w:cs="Times New Roman"/>
          <w:bCs/>
        </w:rPr>
        <w:t>статьи</w:t>
      </w:r>
      <w:r w:rsidRPr="0070262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Ilyin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A I, 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Kabanikhin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S I, 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Nurseitov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D B, 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Nurseitova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A T, 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Asmanova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N A, Voronov D A, 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Bakytov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D, Analysis of ill-</w:t>
      </w:r>
      <w:proofErr w:type="spellStart"/>
      <w:r w:rsidRPr="00702621">
        <w:rPr>
          <w:rFonts w:ascii="Times New Roman" w:hAnsi="Times New Roman" w:cs="Times New Roman"/>
          <w:bCs/>
          <w:lang w:val="en-US"/>
        </w:rPr>
        <w:t>posedness</w:t>
      </w:r>
      <w:proofErr w:type="spellEnd"/>
      <w:r w:rsidRPr="00702621">
        <w:rPr>
          <w:rFonts w:ascii="Times New Roman" w:hAnsi="Times New Roman" w:cs="Times New Roman"/>
          <w:bCs/>
          <w:lang w:val="en-US"/>
        </w:rPr>
        <w:t xml:space="preserve"> and numerical methods of solving a nonlinear inverse problem in pharmacokinetics for the two-compartmental model with extravascular drug administration, Journal of Inverse and Ill-Posed Problems, 20 (1): 3964, 2012. </w:t>
      </w:r>
      <w:r w:rsidRPr="00702621">
        <w:rPr>
          <w:rFonts w:ascii="Times New Roman" w:hAnsi="Times New Roman" w:cs="Times New Roman"/>
          <w:bCs/>
        </w:rPr>
        <w:t xml:space="preserve">Начата работа по изменению интерфейса пакета </w:t>
      </w:r>
      <w:proofErr w:type="spellStart"/>
      <w:r w:rsidRPr="00702621">
        <w:rPr>
          <w:rFonts w:ascii="Times New Roman" w:hAnsi="Times New Roman" w:cs="Times New Roman"/>
          <w:bCs/>
        </w:rPr>
        <w:t>ChemPAK</w:t>
      </w:r>
      <w:proofErr w:type="spellEnd"/>
      <w:r w:rsidRPr="00702621">
        <w:rPr>
          <w:rFonts w:ascii="Times New Roman" w:hAnsi="Times New Roman" w:cs="Times New Roman"/>
          <w:bCs/>
        </w:rPr>
        <w:t xml:space="preserve"> с целью автоматизации итерационного решения прямых и обратных задач химической кинетики.</w:t>
      </w:r>
    </w:p>
    <w:p w:rsidR="00C96958" w:rsidRDefault="00C96958">
      <w:bookmarkStart w:id="1" w:name="_GoBack"/>
      <w:bookmarkEnd w:id="1"/>
    </w:p>
    <w:sectPr w:rsidR="00C9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67549"/>
    <w:multiLevelType w:val="hybridMultilevel"/>
    <w:tmpl w:val="96C47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80323B"/>
    <w:multiLevelType w:val="hybridMultilevel"/>
    <w:tmpl w:val="5B40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66A0D"/>
    <w:multiLevelType w:val="hybridMultilevel"/>
    <w:tmpl w:val="7278C9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6F"/>
    <w:rsid w:val="0086316F"/>
    <w:rsid w:val="00C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F7E2D-82E2-4849-822A-608E52B0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6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86316F"/>
    <w:rPr>
      <w:rFonts w:ascii="Century Schoolbook" w:hAnsi="Century Schoolbook" w:cs="Century Schoolbook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6316F"/>
    <w:pPr>
      <w:shd w:val="clear" w:color="auto" w:fill="FFFFFF"/>
      <w:spacing w:before="300" w:after="240" w:line="240" w:lineRule="atLeast"/>
      <w:jc w:val="center"/>
      <w:outlineLvl w:val="1"/>
    </w:pPr>
    <w:rPr>
      <w:rFonts w:ascii="Century Schoolbook" w:eastAsiaTheme="minorHAnsi" w:hAnsi="Century Schoolbook" w:cs="Century Schoolbook"/>
      <w:color w:val="auto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86316F"/>
    <w:pPr>
      <w:ind w:left="708"/>
    </w:pPr>
  </w:style>
  <w:style w:type="table" w:styleId="a4">
    <w:name w:val="Table Grid"/>
    <w:basedOn w:val="a1"/>
    <w:uiPriority w:val="39"/>
    <w:rsid w:val="00863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2015-05-26T09:54:00Z</dcterms:created>
  <dcterms:modified xsi:type="dcterms:W3CDTF">2015-05-26T09:56:00Z</dcterms:modified>
</cp:coreProperties>
</file>