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272" w:rsidRPr="00D56391" w:rsidRDefault="005D5272" w:rsidP="005D5272">
      <w:pPr>
        <w:pStyle w:val="3"/>
        <w:spacing w:before="120" w:after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D56391">
        <w:rPr>
          <w:rFonts w:ascii="Times New Roman" w:hAnsi="Times New Roman" w:cs="Times New Roman"/>
          <w:bCs w:val="0"/>
          <w:sz w:val="24"/>
          <w:szCs w:val="24"/>
        </w:rPr>
        <w:t>Отчет по этапам научно-исследовательских работ, завершенным в 201</w:t>
      </w:r>
      <w:r w:rsidRPr="005D5272">
        <w:rPr>
          <w:rFonts w:ascii="Times New Roman" w:hAnsi="Times New Roman" w:cs="Times New Roman"/>
          <w:bCs w:val="0"/>
          <w:sz w:val="24"/>
          <w:szCs w:val="24"/>
        </w:rPr>
        <w:t>6</w:t>
      </w:r>
      <w:r w:rsidRPr="00D56391">
        <w:rPr>
          <w:rFonts w:ascii="Times New Roman" w:hAnsi="Times New Roman" w:cs="Times New Roman"/>
          <w:bCs w:val="0"/>
          <w:sz w:val="24"/>
          <w:szCs w:val="24"/>
        </w:rPr>
        <w:t xml:space="preserve"> г. </w:t>
      </w:r>
      <w:r>
        <w:rPr>
          <w:rFonts w:ascii="Times New Roman" w:hAnsi="Times New Roman" w:cs="Times New Roman"/>
          <w:bCs w:val="0"/>
          <w:sz w:val="24"/>
          <w:szCs w:val="24"/>
        </w:rPr>
        <w:br/>
      </w:r>
      <w:r w:rsidRPr="00D56391">
        <w:rPr>
          <w:rFonts w:ascii="Times New Roman" w:hAnsi="Times New Roman" w:cs="Times New Roman"/>
          <w:bCs w:val="0"/>
          <w:sz w:val="24"/>
          <w:szCs w:val="24"/>
        </w:rPr>
        <w:t>в соответствии с планом НИР института</w:t>
      </w:r>
    </w:p>
    <w:p w:rsidR="005D5272" w:rsidRDefault="005D5272" w:rsidP="005D5272">
      <w:pPr>
        <w:spacing w:before="240"/>
      </w:pPr>
      <w:r>
        <w:rPr>
          <w:b/>
        </w:rPr>
        <w:t>Проект НИР 1</w:t>
      </w:r>
      <w:r w:rsidRPr="00D56391">
        <w:rPr>
          <w:b/>
        </w:rPr>
        <w:t>.</w:t>
      </w:r>
      <w:r>
        <w:rPr>
          <w:b/>
        </w:rPr>
        <w:t>3</w:t>
      </w:r>
      <w:r w:rsidRPr="00D56391">
        <w:rPr>
          <w:b/>
        </w:rPr>
        <w:t>.1.2.</w:t>
      </w:r>
      <w:r w:rsidRPr="00D56391">
        <w:t xml:space="preserve"> </w:t>
      </w:r>
      <w:r>
        <w:t xml:space="preserve"> </w:t>
      </w:r>
      <w:r w:rsidRPr="00AC1559">
        <w:rPr>
          <w:color w:val="000000"/>
        </w:rPr>
        <w:t>Математическое моделирование и разработка новых численных методов в задачах геофизики, физики океана и атмосферы, и охраны окружающей среды</w:t>
      </w:r>
      <w:r w:rsidRPr="00D56391">
        <w:t xml:space="preserve"> Номер государственной регистрации НИР 01201</w:t>
      </w:r>
      <w:r>
        <w:t>002447</w:t>
      </w:r>
      <w:r w:rsidRPr="00D56391">
        <w:t>.</w:t>
      </w:r>
    </w:p>
    <w:p w:rsidR="005D5272" w:rsidRPr="00D56391" w:rsidRDefault="005D5272" w:rsidP="005D5272">
      <w:pPr>
        <w:spacing w:before="240"/>
      </w:pPr>
      <w:r>
        <w:t>Раздел 1. «Разработка математических моделей динамики атмосферы, океана и водных объектов суши»</w:t>
      </w:r>
    </w:p>
    <w:p w:rsidR="005D5272" w:rsidRDefault="005D5272" w:rsidP="005D5272">
      <w:r w:rsidRPr="00D56391">
        <w:t>Руководител</w:t>
      </w:r>
      <w:r>
        <w:t>ь</w:t>
      </w:r>
      <w:r w:rsidRPr="00D56391">
        <w:t xml:space="preserve">: д.ф.-м.н. </w:t>
      </w:r>
      <w:r>
        <w:t xml:space="preserve">Кузин </w:t>
      </w:r>
      <w:proofErr w:type="gramStart"/>
      <w:r>
        <w:t>В</w:t>
      </w:r>
      <w:r w:rsidRPr="00D56391">
        <w:t>.</w:t>
      </w:r>
      <w:r>
        <w:t>И.</w:t>
      </w:r>
      <w:r w:rsidRPr="00D56391">
        <w:t>.</w:t>
      </w:r>
      <w:proofErr w:type="gramEnd"/>
    </w:p>
    <w:p w:rsidR="005D5272" w:rsidRDefault="005D5272" w:rsidP="005D5272">
      <w:pPr>
        <w:rPr>
          <w:b/>
        </w:rPr>
      </w:pPr>
      <w:r w:rsidRPr="00471A3A">
        <w:rPr>
          <w:b/>
        </w:rPr>
        <w:t>Кузин</w:t>
      </w:r>
      <w:bookmarkStart w:id="0" w:name="_GoBack"/>
      <w:bookmarkEnd w:id="0"/>
      <w:r w:rsidRPr="00471A3A">
        <w:rPr>
          <w:b/>
        </w:rPr>
        <w:t xml:space="preserve"> В.И. Лаптева Н.А.</w:t>
      </w:r>
    </w:p>
    <w:p w:rsidR="005D5272" w:rsidRDefault="005D5272" w:rsidP="005D5272">
      <w:r w:rsidRPr="005D5272">
        <w:t xml:space="preserve">По модели речного стока были проведены расчеты для десяти моделей сценария RCP8.5 CMIP-5 Проекта </w:t>
      </w:r>
      <w:r w:rsidRPr="005D5272">
        <w:rPr>
          <w:lang w:val="en-US"/>
        </w:rPr>
        <w:t>IPCC</w:t>
      </w:r>
      <w:r w:rsidRPr="005D5272">
        <w:t xml:space="preserve">: </w:t>
      </w:r>
      <w:r w:rsidRPr="005D5272">
        <w:rPr>
          <w:lang w:val="en-US"/>
        </w:rPr>
        <w:t>CNRM</w:t>
      </w:r>
      <w:r w:rsidRPr="005D5272">
        <w:t xml:space="preserve">/Франция, </w:t>
      </w:r>
      <w:r w:rsidRPr="005D5272">
        <w:rPr>
          <w:lang w:val="en-US"/>
        </w:rPr>
        <w:t>INM</w:t>
      </w:r>
      <w:r w:rsidRPr="005D5272">
        <w:t xml:space="preserve">/Россия, </w:t>
      </w:r>
      <w:r w:rsidRPr="005D5272">
        <w:rPr>
          <w:lang w:val="en-US"/>
        </w:rPr>
        <w:t>GFDL</w:t>
      </w:r>
      <w:r w:rsidRPr="005D5272">
        <w:t xml:space="preserve">/США, </w:t>
      </w:r>
      <w:proofErr w:type="spellStart"/>
      <w:r w:rsidRPr="005D5272">
        <w:rPr>
          <w:lang w:val="en-US"/>
        </w:rPr>
        <w:t>HadGEM</w:t>
      </w:r>
      <w:proofErr w:type="spellEnd"/>
      <w:r w:rsidRPr="005D5272">
        <w:t xml:space="preserve">2/ Великобритания, </w:t>
      </w:r>
      <w:r w:rsidRPr="005D5272">
        <w:rPr>
          <w:lang w:val="en-US"/>
        </w:rPr>
        <w:t>MIROC</w:t>
      </w:r>
      <w:r w:rsidRPr="005D5272">
        <w:t xml:space="preserve">5/Япония, </w:t>
      </w:r>
      <w:r w:rsidRPr="005D5272">
        <w:rPr>
          <w:lang w:val="en-US"/>
        </w:rPr>
        <w:t>MPI</w:t>
      </w:r>
      <w:r w:rsidRPr="005D5272">
        <w:t>-</w:t>
      </w:r>
      <w:r w:rsidRPr="005D5272">
        <w:rPr>
          <w:lang w:val="en-US"/>
        </w:rPr>
        <w:t>ESM</w:t>
      </w:r>
      <w:r w:rsidRPr="005D5272">
        <w:t xml:space="preserve">/Германия, </w:t>
      </w:r>
      <w:r w:rsidRPr="005D5272">
        <w:rPr>
          <w:lang w:val="en-US"/>
        </w:rPr>
        <w:t>CMCC</w:t>
      </w:r>
      <w:r w:rsidRPr="005D5272">
        <w:t>-</w:t>
      </w:r>
      <w:r w:rsidRPr="005D5272">
        <w:rPr>
          <w:lang w:val="en-US"/>
        </w:rPr>
        <w:t>CM</w:t>
      </w:r>
      <w:r w:rsidRPr="005D5272">
        <w:t xml:space="preserve">/Италия, </w:t>
      </w:r>
      <w:r w:rsidRPr="005D5272">
        <w:rPr>
          <w:lang w:val="en-US"/>
        </w:rPr>
        <w:t>CSIRO</w:t>
      </w:r>
      <w:r w:rsidRPr="005D5272">
        <w:t>-</w:t>
      </w:r>
      <w:r w:rsidRPr="005D5272">
        <w:rPr>
          <w:lang w:val="en-US"/>
        </w:rPr>
        <w:t>Mk</w:t>
      </w:r>
      <w:r w:rsidRPr="005D5272">
        <w:t xml:space="preserve">3.6.0/Австралия, </w:t>
      </w:r>
      <w:r w:rsidRPr="005D5272">
        <w:rPr>
          <w:lang w:val="en-US"/>
        </w:rPr>
        <w:t>GISS</w:t>
      </w:r>
      <w:r w:rsidRPr="005D5272">
        <w:t>-</w:t>
      </w:r>
      <w:r w:rsidRPr="005D5272">
        <w:rPr>
          <w:lang w:val="en-US"/>
        </w:rPr>
        <w:t>E</w:t>
      </w:r>
      <w:r w:rsidRPr="005D5272">
        <w:t>2-</w:t>
      </w:r>
      <w:r w:rsidRPr="005D5272">
        <w:rPr>
          <w:lang w:val="en-US"/>
        </w:rPr>
        <w:t>H</w:t>
      </w:r>
      <w:r w:rsidRPr="005D5272">
        <w:t xml:space="preserve">/США, </w:t>
      </w:r>
      <w:r w:rsidRPr="005D5272">
        <w:rPr>
          <w:lang w:val="en-US"/>
        </w:rPr>
        <w:t>MRI</w:t>
      </w:r>
      <w:r w:rsidRPr="005D5272">
        <w:t>-</w:t>
      </w:r>
      <w:r w:rsidRPr="005D5272">
        <w:rPr>
          <w:lang w:val="en-US"/>
        </w:rPr>
        <w:t>CGCM</w:t>
      </w:r>
      <w:r w:rsidRPr="005D5272">
        <w:t>3/Япония. Как и в предыдущих расчетах наблюдается положительный линейный тренд стока для всех моделей в одиннадцати анализируемых бассейнах рек. При существенном разбросе оценок модели в среднем качественно воспроизводят основные фазы внутригодового распределения речного стока для анализируемых водосборов.</w:t>
      </w:r>
    </w:p>
    <w:p w:rsidR="005D5272" w:rsidRDefault="005D5272" w:rsidP="005D5272">
      <w:pPr>
        <w:ind w:left="360" w:firstLine="0"/>
      </w:pPr>
      <w:r w:rsidRPr="004E11FC">
        <w:t>.</w:t>
      </w:r>
    </w:p>
    <w:p w:rsidR="005D5272" w:rsidRDefault="005D5272" w:rsidP="005D5272"/>
    <w:p w:rsidR="005D5272" w:rsidRDefault="005D5272" w:rsidP="005D5272">
      <w:pPr>
        <w:ind w:firstLine="0"/>
        <w:jc w:val="center"/>
        <w:rPr>
          <w:b/>
        </w:rPr>
      </w:pPr>
      <w:r w:rsidRPr="004E11FC">
        <w:rPr>
          <w:b/>
          <w:noProof/>
        </w:rPr>
        <w:drawing>
          <wp:inline distT="0" distB="0" distL="0" distR="0" wp14:anchorId="0E4E7DA1" wp14:editId="74362FA0">
            <wp:extent cx="1760373" cy="118425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73" cy="11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1FC">
        <w:rPr>
          <w:b/>
          <w:noProof/>
        </w:rPr>
        <w:drawing>
          <wp:inline distT="0" distB="0" distL="0" distR="0" wp14:anchorId="5DCDF86C" wp14:editId="41C02545">
            <wp:extent cx="1760373" cy="118425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73" cy="11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1FC">
        <w:rPr>
          <w:noProof/>
        </w:rPr>
        <w:drawing>
          <wp:inline distT="0" distB="0" distL="0" distR="0" wp14:anchorId="0362A056" wp14:editId="79ADB5AA">
            <wp:extent cx="1760373" cy="118638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73" cy="11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Default="005D5272" w:rsidP="005D5272">
      <w:pPr>
        <w:ind w:firstLine="0"/>
        <w:jc w:val="center"/>
      </w:pPr>
      <w:r>
        <w:t xml:space="preserve">Рис. 1. </w:t>
      </w:r>
      <w:r w:rsidRPr="004E11FC">
        <w:t xml:space="preserve">Гидрографы по </w:t>
      </w:r>
      <w:proofErr w:type="spellStart"/>
      <w:r w:rsidRPr="004E11FC">
        <w:t>мультимодельному</w:t>
      </w:r>
      <w:proofErr w:type="spellEnd"/>
      <w:r w:rsidRPr="004E11FC">
        <w:t xml:space="preserve"> расчету в сопоставлении с данными наблюдений</w:t>
      </w:r>
      <w:r>
        <w:t>.</w:t>
      </w:r>
    </w:p>
    <w:p w:rsidR="005D5272" w:rsidRPr="004E11FC" w:rsidRDefault="005D5272" w:rsidP="005D5272">
      <w:pPr>
        <w:ind w:firstLine="0"/>
        <w:jc w:val="center"/>
      </w:pPr>
    </w:p>
    <w:p w:rsidR="005D5272" w:rsidRPr="004E11FC" w:rsidRDefault="005D5272" w:rsidP="005D5272">
      <w:r w:rsidRPr="005D5272">
        <w:t>ПЛАТОВ Г.А.</w:t>
      </w:r>
    </w:p>
    <w:p w:rsidR="005D5272" w:rsidRDefault="005D5272" w:rsidP="005D5272">
      <w:pPr>
        <w:shd w:val="clear" w:color="auto" w:fill="FFFFFF" w:themeFill="background1"/>
      </w:pPr>
      <w:r w:rsidRPr="0050502D">
        <w:t xml:space="preserve">Выявлены и изучены основные моды арктической циркуляции и проведен ряд численных экспериментов по исследованию их влияния на региональную циркуляцию арктических морей России. </w:t>
      </w:r>
      <w:r>
        <w:t>Б</w:t>
      </w:r>
      <w:r w:rsidRPr="00242337">
        <w:t xml:space="preserve">ыл проведен ряд численных экспериментов с совместной моделью Северного Ледовитого океана и Северной Атлантики, включающей модули океана и льда. Все эксперименты можно разделить на две серии. Первая основана на использовании в качестве форсинга результатов </w:t>
      </w:r>
      <w:proofErr w:type="spellStart"/>
      <w:r w:rsidRPr="00242337">
        <w:t>реанализа</w:t>
      </w:r>
      <w:proofErr w:type="spellEnd"/>
      <w:r w:rsidRPr="00242337">
        <w:t xml:space="preserve"> в период середины и конца 20-го века. Среди использованных данных </w:t>
      </w:r>
      <w:proofErr w:type="spellStart"/>
      <w:r w:rsidRPr="00242337">
        <w:t>реанализ</w:t>
      </w:r>
      <w:proofErr w:type="spellEnd"/>
      <w:r w:rsidRPr="00242337">
        <w:t xml:space="preserve"> </w:t>
      </w:r>
      <w:r w:rsidRPr="00242337">
        <w:rPr>
          <w:lang w:val="en-US"/>
        </w:rPr>
        <w:t>NCEP</w:t>
      </w:r>
      <w:r w:rsidRPr="00242337">
        <w:t>/</w:t>
      </w:r>
      <w:r w:rsidRPr="00242337">
        <w:rPr>
          <w:lang w:val="en-US"/>
        </w:rPr>
        <w:t>NCAR</w:t>
      </w:r>
      <w:r w:rsidRPr="00242337">
        <w:t xml:space="preserve">, </w:t>
      </w:r>
      <w:r w:rsidRPr="00242337">
        <w:rPr>
          <w:lang w:val="en-US"/>
        </w:rPr>
        <w:t>CORE</w:t>
      </w:r>
      <w:r w:rsidRPr="00242337">
        <w:t xml:space="preserve">-1 и </w:t>
      </w:r>
      <w:r w:rsidRPr="00242337">
        <w:rPr>
          <w:lang w:val="en-US"/>
        </w:rPr>
        <w:t>CORE</w:t>
      </w:r>
      <w:r w:rsidRPr="00242337">
        <w:t xml:space="preserve">-2, </w:t>
      </w:r>
      <w:r w:rsidRPr="00242337">
        <w:rPr>
          <w:lang w:val="en-US"/>
        </w:rPr>
        <w:t>JMA</w:t>
      </w:r>
      <w:r w:rsidRPr="00242337">
        <w:t xml:space="preserve">. На основе этих экспериментов удалось, во-первых, подтвердить способность модели адекватно воспроизводить как общие черты циркуляции и термодинамики региона, так и отдельные особенности, связанные с периодами положительной и отрицательной фаз арктической и североатлантической осцилляций и </w:t>
      </w:r>
      <w:proofErr w:type="gramStart"/>
      <w:r w:rsidRPr="00242337">
        <w:t>связанные с периодами потепления</w:t>
      </w:r>
      <w:proofErr w:type="gramEnd"/>
      <w:r w:rsidRPr="00242337">
        <w:t xml:space="preserve"> и похолодания арктических промежуточных вод, вызванные распространением теплых водных масс из северной Атлантики. </w:t>
      </w:r>
      <w:proofErr w:type="gramStart"/>
      <w:r w:rsidRPr="00242337">
        <w:t>Во вторых</w:t>
      </w:r>
      <w:proofErr w:type="gramEnd"/>
      <w:r w:rsidRPr="00242337">
        <w:t xml:space="preserve">, удалось выявить наиболее важные моды </w:t>
      </w:r>
      <w:r w:rsidRPr="00242337">
        <w:lastRenderedPageBreak/>
        <w:t xml:space="preserve">арктической циркуляции связанные с периодами циклонической и антициклонической аномалиями в круговороте моря </w:t>
      </w:r>
      <w:proofErr w:type="spellStart"/>
      <w:r w:rsidRPr="00242337">
        <w:t>Боффорта</w:t>
      </w:r>
      <w:proofErr w:type="spellEnd"/>
      <w:r w:rsidRPr="00242337">
        <w:t xml:space="preserve"> и в Канадском бассейне. Особенностью этих мод является их связь с основными индексами атмосферной циркуляции в регионе: североатлантической осцилляции (</w:t>
      </w:r>
      <w:r w:rsidRPr="00242337">
        <w:rPr>
          <w:lang w:val="en-US"/>
        </w:rPr>
        <w:t>NAO</w:t>
      </w:r>
      <w:r w:rsidRPr="00242337">
        <w:t>) и арктической осцилляции (</w:t>
      </w:r>
      <w:r w:rsidRPr="00242337">
        <w:rPr>
          <w:lang w:val="en-US"/>
        </w:rPr>
        <w:t>AO</w:t>
      </w:r>
      <w:r w:rsidRPr="00242337">
        <w:t xml:space="preserve">), а также с периодами накопления и сброса накопленных </w:t>
      </w:r>
      <w:proofErr w:type="spellStart"/>
      <w:r w:rsidRPr="00242337">
        <w:t>распресненных</w:t>
      </w:r>
      <w:proofErr w:type="spellEnd"/>
      <w:r w:rsidRPr="00242337">
        <w:t xml:space="preserve"> вод в круговороте моря </w:t>
      </w:r>
      <w:proofErr w:type="spellStart"/>
      <w:r w:rsidRPr="00242337">
        <w:t>Боффорта</w:t>
      </w:r>
      <w:proofErr w:type="spellEnd"/>
      <w:r w:rsidRPr="00242337">
        <w:t>. При этом подтвердился вывод, полученный в предыдущих исследованиях [</w:t>
      </w:r>
      <w:r w:rsidRPr="00E73F24">
        <w:rPr>
          <w:highlight w:val="yellow"/>
        </w:rPr>
        <w:t>???]</w:t>
      </w:r>
      <w:r w:rsidRPr="00242337">
        <w:t xml:space="preserve"> о том, что в середине 20-го столетия наблюдалось синхронное поведения индекса </w:t>
      </w:r>
      <w:r w:rsidRPr="00242337">
        <w:rPr>
          <w:lang w:val="en-US"/>
        </w:rPr>
        <w:t>AO</w:t>
      </w:r>
      <w:r w:rsidRPr="00242337">
        <w:t xml:space="preserve"> и индекса арктической осцилляции океана, а примерно с 80-х годов их поведение становится асинхронным.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5D5272" w:rsidTr="00B608BB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272" w:rsidRDefault="005D5272" w:rsidP="00B608BB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81F4454" wp14:editId="028D10E1">
                  <wp:extent cx="6113135" cy="3099459"/>
                  <wp:effectExtent l="19050" t="0" r="1915" b="0"/>
                  <wp:docPr id="13" name="Рисунок 12" descr="Plato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v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10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272" w:rsidTr="00B608BB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D5272" w:rsidRPr="00AC2478" w:rsidRDefault="005D5272" w:rsidP="00B608BB">
            <w:pPr>
              <w:ind w:firstLine="0"/>
              <w:rPr>
                <w:b/>
                <w:sz w:val="28"/>
                <w:szCs w:val="28"/>
              </w:rPr>
            </w:pPr>
            <w:r w:rsidRPr="00AC2478">
              <w:rPr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D5272" w:rsidRPr="00AC2478" w:rsidRDefault="005D5272" w:rsidP="00B608BB">
            <w:pPr>
              <w:ind w:firstLine="0"/>
              <w:rPr>
                <w:b/>
                <w:sz w:val="28"/>
                <w:szCs w:val="28"/>
              </w:rPr>
            </w:pPr>
            <w:r w:rsidRPr="00AC2478">
              <w:rPr>
                <w:b/>
                <w:sz w:val="28"/>
                <w:szCs w:val="28"/>
              </w:rPr>
              <w:t xml:space="preserve">                   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Pr="00AC2478">
              <w:rPr>
                <w:b/>
                <w:sz w:val="28"/>
                <w:szCs w:val="28"/>
              </w:rPr>
              <w:t xml:space="preserve">      б</w:t>
            </w:r>
          </w:p>
        </w:tc>
      </w:tr>
    </w:tbl>
    <w:p w:rsidR="005D5272" w:rsidRDefault="005D5272" w:rsidP="005D5272">
      <w:pPr>
        <w:ind w:firstLine="0"/>
      </w:pPr>
      <w:r>
        <w:t xml:space="preserve">Рис. </w:t>
      </w:r>
      <w:r w:rsidRPr="00E73C22">
        <w:t>2</w:t>
      </w:r>
      <w:r>
        <w:t xml:space="preserve">. Распространение аномалий пресной воды стока сибирских рек в период </w:t>
      </w:r>
      <w:proofErr w:type="spellStart"/>
      <w:r>
        <w:t>доминироания</w:t>
      </w:r>
      <w:proofErr w:type="spellEnd"/>
      <w:r>
        <w:t xml:space="preserve"> (а) антициклонической моды и (б) циклонической моды циркуляции в Северном Ледовитом океане.</w:t>
      </w:r>
    </w:p>
    <w:p w:rsidR="005D5272" w:rsidRDefault="005D5272" w:rsidP="005D5272">
      <w:pPr>
        <w:ind w:firstLine="0"/>
      </w:pPr>
    </w:p>
    <w:p w:rsidR="005D5272" w:rsidRPr="0092714A" w:rsidRDefault="005D5272" w:rsidP="005D5272">
      <w:pPr>
        <w:ind w:firstLine="0"/>
        <w:rPr>
          <w:sz w:val="22"/>
          <w:szCs w:val="22"/>
        </w:rPr>
      </w:pPr>
      <w:r w:rsidRPr="00242337">
        <w:t>Вторая серия экспериментов посвящена анализу возможных климатических изменений в Арктике в 21-м веке и основывается на использовании в качестве атмосферного форсинга результатов сценарного численного моделирования в рамках проекта МГЭИК. Особое внимание при этом уделялось не только изучению циркуляционных мод, но и исследованию режимов стока основных</w:t>
      </w:r>
      <w:r>
        <w:t xml:space="preserve"> рек Сибири и распространению аномалий речного стока в Северном Ледовитом океане. Рассматривалось несколько вариантов </w:t>
      </w:r>
      <w:proofErr w:type="gramStart"/>
      <w:r>
        <w:t>атмосферного форсинга</w:t>
      </w:r>
      <w:proofErr w:type="gramEnd"/>
      <w:r>
        <w:t xml:space="preserve"> построенного на результатах моделей </w:t>
      </w:r>
      <w:r w:rsidRPr="004E11FC">
        <w:t>CMIP</w:t>
      </w:r>
      <w:r w:rsidRPr="00CB3856">
        <w:t>-5</w:t>
      </w:r>
      <w:r>
        <w:t xml:space="preserve"> </w:t>
      </w:r>
      <w:r w:rsidRPr="004E11FC">
        <w:t>CNRM / Франция, INM / Россия,</w:t>
      </w:r>
      <w:r>
        <w:t xml:space="preserve"> </w:t>
      </w:r>
      <w:r w:rsidRPr="004E11FC">
        <w:t>GFDL / США,</w:t>
      </w:r>
      <w:r>
        <w:t xml:space="preserve"> </w:t>
      </w:r>
      <w:r w:rsidRPr="004E11FC">
        <w:t>MIROC5 / Япония, CMCC-CM / Италия, CSIRO-Mk3.6.0 / Австралия</w:t>
      </w:r>
      <w:r w:rsidRPr="00CB3856">
        <w:t>:</w:t>
      </w:r>
      <w:r>
        <w:t xml:space="preserve"> В частности была выявлена корреляция между индексом арктической циркуляции и </w:t>
      </w:r>
      <w:r w:rsidRPr="005D5272">
        <w:t xml:space="preserve">аномалиями речного стока </w:t>
      </w:r>
      <w:r w:rsidRPr="005D5272">
        <w:rPr>
          <w:sz w:val="22"/>
          <w:szCs w:val="22"/>
        </w:rPr>
        <w:t>Особенности движения атмосферы выражены в значениях индекса арктической осцилляции (</w:t>
      </w:r>
      <w:r w:rsidRPr="005D5272">
        <w:rPr>
          <w:sz w:val="22"/>
          <w:szCs w:val="22"/>
          <w:lang w:val="en-US"/>
        </w:rPr>
        <w:t>AO</w:t>
      </w:r>
      <w:r w:rsidRPr="005D5272">
        <w:rPr>
          <w:sz w:val="22"/>
          <w:szCs w:val="22"/>
        </w:rPr>
        <w:t xml:space="preserve">), приводящего к изменениям индекса арктической океанической осцилляции (АОО). Для оценки индексов в </w:t>
      </w:r>
      <w:r w:rsidRPr="005D5272">
        <w:rPr>
          <w:sz w:val="22"/>
          <w:szCs w:val="22"/>
          <w:lang w:val="en-US"/>
        </w:rPr>
        <w:t>XXI</w:t>
      </w:r>
      <w:r w:rsidRPr="005D5272">
        <w:rPr>
          <w:sz w:val="22"/>
          <w:szCs w:val="22"/>
        </w:rPr>
        <w:t xml:space="preserve"> веке использовались результаты расчетов по сценариям </w:t>
      </w:r>
      <w:r w:rsidRPr="005D5272">
        <w:rPr>
          <w:sz w:val="22"/>
          <w:szCs w:val="22"/>
          <w:lang w:val="en-US"/>
        </w:rPr>
        <w:t>IPCC</w:t>
      </w:r>
      <w:r w:rsidRPr="005D5272">
        <w:rPr>
          <w:sz w:val="22"/>
          <w:szCs w:val="22"/>
        </w:rPr>
        <w:t xml:space="preserve">. Основные отличия заключаются в различном характере циркуляции при разных значениях индекса АОО [5]. В первой половине столетия, когда реализовывалась фаза положительного индекса циркуляции, вынос отклонений содержания пресной воды из района </w:t>
      </w:r>
      <w:r w:rsidRPr="005D5272">
        <w:rPr>
          <w:sz w:val="22"/>
          <w:szCs w:val="22"/>
        </w:rPr>
        <w:lastRenderedPageBreak/>
        <w:t xml:space="preserve">возмущений (Карское море и море Лаптевых) в сторону пролива </w:t>
      </w:r>
      <w:proofErr w:type="spellStart"/>
      <w:r w:rsidRPr="005D5272">
        <w:rPr>
          <w:sz w:val="22"/>
          <w:szCs w:val="22"/>
        </w:rPr>
        <w:t>Фрама</w:t>
      </w:r>
      <w:proofErr w:type="spellEnd"/>
      <w:r w:rsidRPr="005D5272">
        <w:rPr>
          <w:sz w:val="22"/>
          <w:szCs w:val="22"/>
        </w:rPr>
        <w:t xml:space="preserve"> происходит практически по прямой линии, соединяющей эти два района, благодаря трансполярному дрейфу, и распространяется далее вдоль южного побережья Гренландии в Атлантический океан. Во второй половине </w:t>
      </w:r>
      <w:r w:rsidRPr="005D5272">
        <w:rPr>
          <w:sz w:val="22"/>
          <w:szCs w:val="22"/>
          <w:lang w:val="en-US"/>
        </w:rPr>
        <w:t>XXI</w:t>
      </w:r>
      <w:r w:rsidRPr="005D5272">
        <w:rPr>
          <w:sz w:val="22"/>
          <w:szCs w:val="22"/>
        </w:rPr>
        <w:t xml:space="preserve"> века фаза индекса циркуляции была отрицательной, поэтому траектория движения аномалий пресной воды, соответствуя изолиниям функции тока этого периода, пролегает далеко за пределами хребта Ломоносова [5]. Это приводит к дефициту или увеличению объема аномалий пресной воды в центральной части СЛО.</w:t>
      </w:r>
    </w:p>
    <w:p w:rsidR="005D5272" w:rsidRPr="00CB3856" w:rsidRDefault="005D5272" w:rsidP="005D5272">
      <w:pPr>
        <w:spacing w:line="240" w:lineRule="auto"/>
        <w:ind w:firstLine="709"/>
      </w:pPr>
    </w:p>
    <w:p w:rsidR="005D5272" w:rsidRDefault="005D5272" w:rsidP="005D5272">
      <w:pPr>
        <w:ind w:firstLine="709"/>
      </w:pPr>
      <w:r w:rsidRPr="00242337">
        <w:t xml:space="preserve">Явление «двойной диффузии» проявляется в возникновении активной турбулентности в условиях устойчивой стратификации и связано с различной скоростью диффузионного распространения тепла (теплопроводность) и солености. Различают два типа явлений двойной диффузии: тропический и полярный. В рамках решения задачи усовершенствования параметризации мезомасштабных процессов в океане, рассматривался вопрос описания процессов двойной диффузии в Северном Ледовитом океане. С помощью численного моделирования было проведено сравнение различных подходов в описании вертикальной турбулентности в океане, в том числе </w:t>
      </w:r>
      <w:r w:rsidRPr="00242337">
        <w:rPr>
          <w:lang w:val="en-US"/>
        </w:rPr>
        <w:t>b</w:t>
      </w:r>
      <w:r w:rsidRPr="00242337">
        <w:t xml:space="preserve">-ε модель, модель </w:t>
      </w:r>
      <w:proofErr w:type="spellStart"/>
      <w:r w:rsidRPr="00242337">
        <w:t>Меллора-Ямады</w:t>
      </w:r>
      <w:proofErr w:type="spellEnd"/>
      <w:r w:rsidRPr="00242337">
        <w:t xml:space="preserve">, </w:t>
      </w:r>
      <w:r w:rsidRPr="00242337">
        <w:rPr>
          <w:lang w:val="en-US"/>
        </w:rPr>
        <w:t>KPP</w:t>
      </w:r>
      <w:r w:rsidRPr="00242337">
        <w:t xml:space="preserve"> и </w:t>
      </w:r>
      <w:r w:rsidRPr="00242337">
        <w:rPr>
          <w:lang w:val="en-US"/>
        </w:rPr>
        <w:t>OPPS</w:t>
      </w:r>
      <w:r w:rsidRPr="00242337">
        <w:t>. Было показано, что ни одна из рассмотренных популярных моделей не воспроизводит в достаточной степени эффекты двойной диффузии и поэтому требуется разработка дополнительной параметризации, позволяющей вводить дополнительные вертикальные потоки тепла и солей в ситуациях, когда действие двойной диффузии потенциально возможно.</w:t>
      </w:r>
    </w:p>
    <w:p w:rsidR="005D5272" w:rsidRDefault="005D5272" w:rsidP="005D5272">
      <w:pPr>
        <w:shd w:val="clear" w:color="auto" w:fill="FFFFFF" w:themeFill="background1"/>
      </w:pPr>
    </w:p>
    <w:p w:rsidR="005D5272" w:rsidRDefault="005D5272" w:rsidP="005D5272">
      <w:pPr>
        <w:shd w:val="clear" w:color="auto" w:fill="FFFFFF" w:themeFill="background1"/>
      </w:pPr>
      <w:r w:rsidRPr="005D5272">
        <w:t>Изучена роль двойной диффузии и существующие подходы в ее описании в крупномасштабных моделях океана. Проведены расчеты по чувствительности численной модели океана к ее параметризации.</w:t>
      </w:r>
      <w:r w:rsidRPr="0050502D">
        <w:t xml:space="preserve"> </w:t>
      </w:r>
    </w:p>
    <w:p w:rsidR="005D5272" w:rsidRPr="0050502D" w:rsidRDefault="005D5272" w:rsidP="005D5272">
      <w:pPr>
        <w:shd w:val="clear" w:color="auto" w:fill="FFFFFF" w:themeFill="background1"/>
      </w:pPr>
    </w:p>
    <w:p w:rsidR="005D5272" w:rsidRDefault="005D5272" w:rsidP="005D5272">
      <w:pPr>
        <w:ind w:firstLine="709"/>
        <w:rPr>
          <w:b/>
          <w:sz w:val="28"/>
        </w:rPr>
      </w:pPr>
      <w:r w:rsidRPr="00AC2478">
        <w:rPr>
          <w:b/>
          <w:caps/>
          <w:sz w:val="28"/>
        </w:rPr>
        <w:t>Голубева Е.Н.</w:t>
      </w:r>
      <w:r w:rsidRPr="00AF059D">
        <w:rPr>
          <w:b/>
          <w:sz w:val="28"/>
        </w:rPr>
        <w:t xml:space="preserve"> </w:t>
      </w:r>
    </w:p>
    <w:p w:rsidR="005D5272" w:rsidRPr="00AF059D" w:rsidRDefault="005D5272" w:rsidP="005D5272">
      <w:pPr>
        <w:ind w:firstLine="709"/>
      </w:pPr>
      <w:r w:rsidRPr="00AF059D">
        <w:t xml:space="preserve">На основе трехмерного численного моделирования с использованием данных атмосферного </w:t>
      </w:r>
      <w:proofErr w:type="spellStart"/>
      <w:r w:rsidRPr="00AF059D">
        <w:t>реанализа</w:t>
      </w:r>
      <w:proofErr w:type="spellEnd"/>
      <w:r w:rsidRPr="00AF059D">
        <w:t xml:space="preserve"> исследовалось состояние вод и морского льда Северного Ледовитого океана с уточнением процессов в шельфовых районах Восточной Арктики. Для исследования использовалась система вложенных региональных численных моделей Северного Ледовитого океана (сеточное разрешение 10-25 км), шельфовой зоны моря Лаптевых (разрешение 3-4 км), окрестностей дельты р. Лены (разрешение до 400 м). Анализировалась роль шельфовых районов в формировании </w:t>
      </w:r>
      <w:proofErr w:type="spellStart"/>
      <w:r w:rsidRPr="00AF059D">
        <w:t>термохалинной</w:t>
      </w:r>
      <w:proofErr w:type="spellEnd"/>
      <w:r w:rsidRPr="00AF059D">
        <w:t xml:space="preserve"> структуры Арктического бассейна. Среди наиболее значимых процессов выделяются распространение пресных речных вод и формирование Великой Сибирской полыньи.</w:t>
      </w:r>
    </w:p>
    <w:p w:rsidR="005D5272" w:rsidRPr="00AF059D" w:rsidRDefault="005D5272" w:rsidP="005D5272">
      <w:pPr>
        <w:ind w:firstLine="709"/>
      </w:pPr>
      <w:r w:rsidRPr="00AF059D">
        <w:t xml:space="preserve"> Изменчивость атмосферной циркуляции является основным фактором, влияющим на траекторию распространения речных вод в летний период. Полученные трехмерные поля температуры, солености, скорости течений позволяют выделить две наиболее характерные траектории распространения вод в летний период: в полярном направлении и вдоль побережья Восточной Сибири. Анализ пространственно-временной изменчивости расчетных полей показал, что тепловой речной сток, существенно влияя на </w:t>
      </w:r>
      <w:proofErr w:type="spellStart"/>
      <w:r w:rsidRPr="00AF059D">
        <w:t>термохалинную</w:t>
      </w:r>
      <w:proofErr w:type="spellEnd"/>
      <w:r w:rsidRPr="00AF059D">
        <w:t xml:space="preserve"> структуру вод шельфовой зоны, не вносит значимых изменений в состояние вод и ледового покрова основной области Арктического бассейна. </w:t>
      </w:r>
    </w:p>
    <w:p w:rsidR="005D5272" w:rsidRPr="00AF059D" w:rsidRDefault="005D5272" w:rsidP="005D5272">
      <w:pPr>
        <w:ind w:firstLine="709"/>
      </w:pPr>
      <w:r w:rsidRPr="00AF059D">
        <w:lastRenderedPageBreak/>
        <w:t xml:space="preserve"> Топографические особенности шельфовой зоны приводят к формированию припайного льда, присутствующего в регионе с октября до июня. В модели применяется параметризация этого процесса на основе установления нулевых скоростей для дрейфа льда в шельфовой зоне. Южный ветер, способствующей направленному на север переносу льда, формирует полынью в области материкового склона. Это создает условия для обмена с атмосферой, образованию нового льда, высвобождению соли и формированию слоя холодного арктического </w:t>
      </w:r>
      <w:proofErr w:type="spellStart"/>
      <w:r w:rsidRPr="00AF059D">
        <w:t>халоклина</w:t>
      </w:r>
      <w:proofErr w:type="spellEnd"/>
      <w:r w:rsidRPr="00AF059D">
        <w:t>, изолирующего слой атлантических вод от нижней кромки льда.</w:t>
      </w:r>
    </w:p>
    <w:p w:rsidR="005D5272" w:rsidRDefault="005D5272" w:rsidP="005D5272">
      <w:pPr>
        <w:shd w:val="clear" w:color="auto" w:fill="FFFFFF" w:themeFill="background1"/>
        <w:rPr>
          <w:b/>
        </w:rPr>
      </w:pPr>
    </w:p>
    <w:p w:rsidR="005D5272" w:rsidRPr="00156634" w:rsidRDefault="005D5272" w:rsidP="005D5272">
      <w:pPr>
        <w:shd w:val="clear" w:color="auto" w:fill="FFFFFF" w:themeFill="background1"/>
        <w:rPr>
          <w:b/>
        </w:rPr>
      </w:pPr>
      <w:r w:rsidRPr="00156634">
        <w:rPr>
          <w:b/>
        </w:rPr>
        <w:t>РАПУТА В.Ф.</w:t>
      </w:r>
    </w:p>
    <w:p w:rsidR="005D5272" w:rsidRDefault="005D5272" w:rsidP="005D5272">
      <w:pPr>
        <w:ind w:firstLine="709"/>
      </w:pPr>
      <w:r>
        <w:t xml:space="preserve">На основе рекомендаций, вытекающих из методов решения </w:t>
      </w:r>
      <w:r w:rsidRPr="00EF07FD">
        <w:t xml:space="preserve">обратных задач переноса аэрозольных примесей </w:t>
      </w:r>
      <w:r>
        <w:t>и теории планирования эксперимента, были проведены</w:t>
      </w:r>
      <w:r w:rsidRPr="00EF07FD">
        <w:t xml:space="preserve"> полевы</w:t>
      </w:r>
      <w:r>
        <w:t>е</w:t>
      </w:r>
      <w:r w:rsidRPr="00EF07FD">
        <w:t xml:space="preserve"> </w:t>
      </w:r>
      <w:r>
        <w:t>исследования</w:t>
      </w:r>
      <w:r w:rsidRPr="00EF07FD">
        <w:t xml:space="preserve"> многокомпонентного загрязнения снежного покрова в окрестностях Новосибирского электродного завода (НЭЗ)</w:t>
      </w:r>
      <w:r>
        <w:t>.</w:t>
      </w:r>
      <w:r w:rsidRPr="00EF07FD">
        <w:t xml:space="preserve"> </w:t>
      </w:r>
      <w:r>
        <w:t>С</w:t>
      </w:r>
      <w:r w:rsidRPr="00EF07FD">
        <w:t xml:space="preserve"> учётом дополнительных априорных сведений о характеристиках источников </w:t>
      </w:r>
      <w:r>
        <w:t xml:space="preserve">завода </w:t>
      </w:r>
      <w:r w:rsidRPr="00EF07FD">
        <w:t xml:space="preserve">и дисперсном составе </w:t>
      </w:r>
      <w:r>
        <w:t xml:space="preserve">выбрасываемых </w:t>
      </w:r>
      <w:r w:rsidRPr="00EF07FD">
        <w:t xml:space="preserve">примесей </w:t>
      </w:r>
      <w:r>
        <w:t xml:space="preserve">разработаны </w:t>
      </w:r>
      <w:proofErr w:type="spellStart"/>
      <w:r w:rsidRPr="00EF07FD">
        <w:t>малопараметрическ</w:t>
      </w:r>
      <w:r>
        <w:t>ие</w:t>
      </w:r>
      <w:proofErr w:type="spellEnd"/>
      <w:r w:rsidRPr="00EF07FD">
        <w:t xml:space="preserve"> модел</w:t>
      </w:r>
      <w:r>
        <w:t>и</w:t>
      </w:r>
      <w:r w:rsidRPr="00EF07FD">
        <w:t xml:space="preserve"> реконструкции полей выпадений</w:t>
      </w:r>
      <w:r>
        <w:t xml:space="preserve"> в моно и полидисперсном приближении. </w:t>
      </w:r>
    </w:p>
    <w:p w:rsidR="005D5272" w:rsidRPr="00EF07FD" w:rsidRDefault="005D5272" w:rsidP="005D5272">
      <w:pPr>
        <w:ind w:firstLine="709"/>
      </w:pPr>
      <w:r>
        <w:t>Численный анализ</w:t>
      </w:r>
      <w:r w:rsidRPr="00EF07FD">
        <w:t xml:space="preserve"> данных маршрутных наблюдений</w:t>
      </w:r>
      <w:r>
        <w:t xml:space="preserve"> показал</w:t>
      </w:r>
      <w:r w:rsidRPr="00EF07FD">
        <w:t xml:space="preserve">, что основные выпадения </w:t>
      </w:r>
      <w:proofErr w:type="spellStart"/>
      <w:r w:rsidRPr="00EF07FD">
        <w:t>полиароматических</w:t>
      </w:r>
      <w:proofErr w:type="spellEnd"/>
      <w:r w:rsidRPr="00EF07FD">
        <w:t xml:space="preserve"> углеводородов происходят от высотных труб обжигового цеха в составе крупнодисперсных фракций частиц</w:t>
      </w:r>
      <w:r>
        <w:t xml:space="preserve"> </w:t>
      </w:r>
      <w:r w:rsidRPr="00EF07FD">
        <w:t xml:space="preserve">и являются весьма значительными. </w:t>
      </w:r>
      <w:r>
        <w:t>П</w:t>
      </w:r>
      <w:r w:rsidRPr="00EF07FD">
        <w:t xml:space="preserve">оступления </w:t>
      </w:r>
      <w:r>
        <w:t xml:space="preserve">же в атмосферу </w:t>
      </w:r>
      <w:r w:rsidRPr="00EF07FD">
        <w:t xml:space="preserve">ряда тяжёлых металлов и компонентов ионного состава </w:t>
      </w:r>
      <w:r>
        <w:t xml:space="preserve">осуществляется </w:t>
      </w:r>
      <w:r w:rsidRPr="00EF07FD">
        <w:t>от более низких источников НЭЗ</w:t>
      </w:r>
      <w:r>
        <w:t xml:space="preserve"> в составе сравнительно лёгких фракций частиц</w:t>
      </w:r>
      <w:r w:rsidRPr="00EF07FD">
        <w:t xml:space="preserve">. </w:t>
      </w:r>
      <w:r>
        <w:t>Проведённый п</w:t>
      </w:r>
      <w:r w:rsidRPr="00EF07FD">
        <w:t xml:space="preserve">опарный корреляционный анализ позволил подтвердить их принадлежность </w:t>
      </w:r>
      <w:r>
        <w:t xml:space="preserve">к </w:t>
      </w:r>
      <w:r w:rsidRPr="00EF07FD">
        <w:t>источник</w:t>
      </w:r>
      <w:r>
        <w:t>ам завода</w:t>
      </w:r>
      <w:r w:rsidRPr="00EF07FD">
        <w:t xml:space="preserve">. </w:t>
      </w:r>
      <w:r>
        <w:t>По данным мониторинга загрязнения снежного покрова численно восстановлены поля концентраций и п</w:t>
      </w:r>
      <w:r w:rsidRPr="00EF07FD">
        <w:t xml:space="preserve">риведены оценки суммарных выпадений от НЭЗ различных компонентов примесей в зимнем сезоне 2016 года и сравнения с данными предыдущих исследований. </w:t>
      </w:r>
    </w:p>
    <w:p w:rsidR="005D5272" w:rsidRDefault="005D5272" w:rsidP="005D5272">
      <w:pPr>
        <w:contextualSpacing/>
        <w:outlineLvl w:val="0"/>
        <w:rPr>
          <w:highlight w:val="yellow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5"/>
        <w:gridCol w:w="4132"/>
      </w:tblGrid>
      <w:tr w:rsidR="005D5272" w:rsidRPr="00386579" w:rsidTr="00B608BB">
        <w:tc>
          <w:tcPr>
            <w:tcW w:w="4978" w:type="dxa"/>
            <w:shd w:val="clear" w:color="auto" w:fill="auto"/>
          </w:tcPr>
          <w:p w:rsidR="005D5272" w:rsidRDefault="005D5272" w:rsidP="00B608BB">
            <w:pPr>
              <w:contextualSpacing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D2A5A" wp14:editId="71DEBBC0">
                  <wp:extent cx="3336925" cy="1983105"/>
                  <wp:effectExtent l="19050" t="0" r="0" b="0"/>
                  <wp:docPr id="154" name="Picture 5" descr="Risuno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no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272" w:rsidRPr="00D14B95" w:rsidRDefault="005D5272" w:rsidP="00B608BB">
            <w:pPr>
              <w:contextualSpacing/>
              <w:jc w:val="center"/>
              <w:outlineLvl w:val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5051" w:type="dxa"/>
            <w:shd w:val="clear" w:color="auto" w:fill="auto"/>
          </w:tcPr>
          <w:p w:rsidR="005D5272" w:rsidRPr="00386579" w:rsidRDefault="005D5272" w:rsidP="00B608BB">
            <w:pPr>
              <w:contextualSpacing/>
              <w:jc w:val="center"/>
              <w:outlineLvl w:val="0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8D5ABAA" wp14:editId="0827566D">
                  <wp:extent cx="2612390" cy="1959610"/>
                  <wp:effectExtent l="19050" t="0" r="0" b="0"/>
                  <wp:docPr id="1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272" w:rsidRPr="00386579" w:rsidTr="00B608BB">
        <w:tc>
          <w:tcPr>
            <w:tcW w:w="4978" w:type="dxa"/>
            <w:shd w:val="clear" w:color="auto" w:fill="auto"/>
          </w:tcPr>
          <w:p w:rsidR="005D5272" w:rsidRPr="00386579" w:rsidRDefault="005D5272" w:rsidP="00B608BB">
            <w:pPr>
              <w:contextualSpacing/>
              <w:jc w:val="center"/>
              <w:outlineLvl w:val="0"/>
              <w:rPr>
                <w:noProof/>
              </w:rPr>
            </w:pPr>
          </w:p>
        </w:tc>
        <w:tc>
          <w:tcPr>
            <w:tcW w:w="5051" w:type="dxa"/>
            <w:shd w:val="clear" w:color="auto" w:fill="auto"/>
          </w:tcPr>
          <w:p w:rsidR="005D5272" w:rsidRPr="00386579" w:rsidRDefault="005D5272" w:rsidP="00B608BB">
            <w:pPr>
              <w:contextualSpacing/>
              <w:outlineLvl w:val="0"/>
              <w:rPr>
                <w:noProof/>
              </w:rPr>
            </w:pPr>
          </w:p>
        </w:tc>
      </w:tr>
    </w:tbl>
    <w:p w:rsidR="005D5272" w:rsidRPr="00AA5766" w:rsidRDefault="005D5272" w:rsidP="005D5272">
      <w:pPr>
        <w:contextualSpacing/>
        <w:outlineLvl w:val="0"/>
      </w:pPr>
      <w:r w:rsidRPr="00AA5766">
        <w:t xml:space="preserve">Рис. </w:t>
      </w:r>
      <w:r w:rsidRPr="00E73C22">
        <w:t>3</w:t>
      </w:r>
      <w:r w:rsidRPr="00AA5766">
        <w:t xml:space="preserve">. </w:t>
      </w:r>
      <w:r>
        <w:t xml:space="preserve">Схема отбора проб снега, фотографии промплощадки НЭЗ с расстояния 1.5 км и этапов </w:t>
      </w:r>
      <w:proofErr w:type="spellStart"/>
      <w:r>
        <w:t>пробоотбора</w:t>
      </w:r>
      <w:proofErr w:type="spellEnd"/>
      <w:r>
        <w:t xml:space="preserve"> </w:t>
      </w:r>
    </w:p>
    <w:p w:rsidR="005D5272" w:rsidRDefault="005D5272" w:rsidP="005D5272">
      <w:pPr>
        <w:rPr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4"/>
        <w:gridCol w:w="4631"/>
      </w:tblGrid>
      <w:tr w:rsidR="005D5272" w:rsidRPr="00386579" w:rsidTr="00B608BB">
        <w:tc>
          <w:tcPr>
            <w:tcW w:w="5068" w:type="dxa"/>
            <w:shd w:val="clear" w:color="auto" w:fill="auto"/>
          </w:tcPr>
          <w:p w:rsidR="005D5272" w:rsidRPr="00386579" w:rsidRDefault="005D5272" w:rsidP="00B608BB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2B59E1" wp14:editId="6223F51D">
                  <wp:extent cx="2612390" cy="1828800"/>
                  <wp:effectExtent l="0" t="0" r="0" b="0"/>
                  <wp:docPr id="158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6750" t="-12009" r="-1187" b="-1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5D5272" w:rsidRPr="00386579" w:rsidRDefault="005D5272" w:rsidP="00B608BB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87F345A" wp14:editId="630819DD">
                  <wp:extent cx="2529205" cy="1531620"/>
                  <wp:effectExtent l="19050" t="0" r="4445" b="0"/>
                  <wp:docPr id="1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272" w:rsidRPr="00386579" w:rsidTr="00B608BB">
        <w:tc>
          <w:tcPr>
            <w:tcW w:w="5068" w:type="dxa"/>
            <w:shd w:val="clear" w:color="auto" w:fill="auto"/>
          </w:tcPr>
          <w:p w:rsidR="005D5272" w:rsidRPr="00386579" w:rsidRDefault="005D5272" w:rsidP="00B608BB">
            <w:pPr>
              <w:jc w:val="center"/>
              <w:rPr>
                <w:highlight w:val="yellow"/>
              </w:rPr>
            </w:pPr>
            <w:r w:rsidRPr="00386579">
              <w:rPr>
                <w:highlight w:val="yellow"/>
              </w:rPr>
              <w:object w:dxaOrig="8010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17pt" o:ole="">
                  <v:imagedata r:id="rId12" o:title=""/>
                </v:shape>
                <o:OLEObject Type="Embed" ProgID="PBrush" ShapeID="_x0000_i1025" DrawAspect="Content" ObjectID="_1559740096" r:id="rId13"/>
              </w:object>
            </w:r>
          </w:p>
        </w:tc>
        <w:tc>
          <w:tcPr>
            <w:tcW w:w="5069" w:type="dxa"/>
            <w:shd w:val="clear" w:color="auto" w:fill="auto"/>
          </w:tcPr>
          <w:p w:rsidR="005D5272" w:rsidRPr="00386579" w:rsidRDefault="005D5272" w:rsidP="00B608BB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8D523D4" wp14:editId="33CC4F1D">
                  <wp:extent cx="2493645" cy="1662430"/>
                  <wp:effectExtent l="0" t="0" r="0" b="0"/>
                  <wp:docPr id="161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10004" t="-22983" r="-1457" b="-12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272" w:rsidRPr="00D57F02" w:rsidRDefault="005D5272" w:rsidP="005D5272">
      <w:r w:rsidRPr="00645ECC">
        <w:t xml:space="preserve">Рис. </w:t>
      </w:r>
      <w:r w:rsidRPr="00E73C22">
        <w:t>4</w:t>
      </w:r>
      <w:r w:rsidRPr="00645ECC">
        <w:t xml:space="preserve">. Численная реконструкция концентрации </w:t>
      </w:r>
      <w:proofErr w:type="spellStart"/>
      <w:r w:rsidRPr="00645ECC">
        <w:t>бенз</w:t>
      </w:r>
      <w:proofErr w:type="spellEnd"/>
      <w:r w:rsidRPr="00645ECC">
        <w:t>(а)</w:t>
      </w:r>
      <w:proofErr w:type="spellStart"/>
      <w:r w:rsidRPr="00645ECC">
        <w:t>пирена</w:t>
      </w:r>
      <w:proofErr w:type="spellEnd"/>
      <w:r w:rsidRPr="00645ECC">
        <w:t>, мышьяка, никеля</w:t>
      </w:r>
      <w:r>
        <w:t>, хлоридов</w:t>
      </w:r>
      <w:r w:rsidRPr="00645ECC">
        <w:t xml:space="preserve"> в северо-восточном направлении от </w:t>
      </w:r>
      <w:r>
        <w:t>Н</w:t>
      </w:r>
      <w:r w:rsidRPr="00645ECC">
        <w:t>Э</w:t>
      </w:r>
      <w:r>
        <w:t>З</w:t>
      </w:r>
      <w:r w:rsidRPr="00645ECC">
        <w:t xml:space="preserve">. </w:t>
      </w:r>
      <w:r>
        <w:rPr>
          <w:rFonts w:eastAsia="+mn-ea"/>
          <w:kern w:val="24"/>
        </w:rPr>
        <w:t xml:space="preserve">○ – опорные точки, </w:t>
      </w:r>
      <w:r w:rsidRPr="00645ECC">
        <w:rPr>
          <w:rFonts w:eastAsia="+mn-ea"/>
          <w:kern w:val="24"/>
        </w:rPr>
        <w:t xml:space="preserve">● – контрольные точки наблюдений </w:t>
      </w:r>
      <w:r w:rsidRPr="00645ECC">
        <w:rPr>
          <w:color w:val="FF0000"/>
        </w:rPr>
        <w:t xml:space="preserve"> </w:t>
      </w:r>
    </w:p>
    <w:p w:rsidR="005D5272" w:rsidRDefault="005D5272" w:rsidP="005D5272">
      <w:pPr>
        <w:shd w:val="clear" w:color="auto" w:fill="FFFFFF" w:themeFill="background1"/>
      </w:pPr>
    </w:p>
    <w:p w:rsidR="005D5272" w:rsidRPr="00156634" w:rsidRDefault="005D5272" w:rsidP="005D5272">
      <w:pPr>
        <w:ind w:firstLine="600"/>
        <w:rPr>
          <w:b/>
        </w:rPr>
      </w:pPr>
      <w:r w:rsidRPr="00156634">
        <w:rPr>
          <w:b/>
        </w:rPr>
        <w:t>ЛЕЖЕНИН А.А.</w:t>
      </w:r>
    </w:p>
    <w:p w:rsidR="005D5272" w:rsidRPr="00156634" w:rsidRDefault="005D5272" w:rsidP="005D5272">
      <w:pPr>
        <w:ind w:firstLine="600"/>
      </w:pPr>
      <w:r w:rsidRPr="00B245E4">
        <w:t xml:space="preserve">Предложена модель численного восстановления профилей скорости ветра и коэффициента вертикального турбулентного обмена в пограничном слое атмосферы, основанная на уравнениях </w:t>
      </w:r>
      <w:proofErr w:type="spellStart"/>
      <w:r w:rsidRPr="00B245E4">
        <w:t>Экмана</w:t>
      </w:r>
      <w:proofErr w:type="spellEnd"/>
      <w:r w:rsidRPr="00B245E4">
        <w:t xml:space="preserve">. Проведена верификация модели на известных аэрологических данных Лейпцигского эксперимента. Представлены результаты численного моделирования поля ветра, выполненного на основе спутниковых наблюдений дымовых факелов от высотных труб ТЭЦ г. Омска и данных аэрологического зондирования. </w:t>
      </w:r>
    </w:p>
    <w:p w:rsidR="005D5272" w:rsidRPr="00156634" w:rsidRDefault="005D5272" w:rsidP="005D5272"/>
    <w:p w:rsidR="005D5272" w:rsidRDefault="005D5272" w:rsidP="005D527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03CFDF" wp14:editId="6D4A6AA9">
            <wp:extent cx="5830570" cy="4168140"/>
            <wp:effectExtent l="19050" t="0" r="0" b="0"/>
            <wp:docPr id="7" name="Рисунок 3" descr="рис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1+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Default="005D5272" w:rsidP="005D5272">
      <w:pPr>
        <w:rPr>
          <w:lang w:val="en-US"/>
        </w:rPr>
      </w:pPr>
    </w:p>
    <w:p w:rsidR="005D5272" w:rsidRPr="00B245E4" w:rsidRDefault="005D5272" w:rsidP="005D5272">
      <w:pPr>
        <w:jc w:val="center"/>
        <w:rPr>
          <w:b/>
          <w:sz w:val="22"/>
          <w:szCs w:val="22"/>
        </w:rPr>
      </w:pPr>
      <w:r w:rsidRPr="00B245E4">
        <w:rPr>
          <w:b/>
          <w:sz w:val="22"/>
          <w:szCs w:val="22"/>
        </w:rPr>
        <w:t xml:space="preserve">Рис. </w:t>
      </w:r>
      <w:r w:rsidRPr="00E73C22">
        <w:rPr>
          <w:b/>
          <w:sz w:val="22"/>
          <w:szCs w:val="22"/>
        </w:rPr>
        <w:t>5</w:t>
      </w:r>
      <w:r w:rsidRPr="00B245E4">
        <w:rPr>
          <w:b/>
          <w:sz w:val="22"/>
          <w:szCs w:val="22"/>
        </w:rPr>
        <w:t>. Снимок г. Омска с ИСЗ «Landsat-8» (03.01.2015 г.) на 12ч. местного времени</w:t>
      </w:r>
    </w:p>
    <w:p w:rsidR="005D5272" w:rsidRPr="006872B9" w:rsidRDefault="005D5272" w:rsidP="005D5272"/>
    <w:p w:rsidR="005D5272" w:rsidRPr="006872B9" w:rsidRDefault="005D5272" w:rsidP="005D5272"/>
    <w:p w:rsidR="005D5272" w:rsidRPr="00156634" w:rsidRDefault="005D5272" w:rsidP="005D5272"/>
    <w:p w:rsidR="005D5272" w:rsidRDefault="005D5272" w:rsidP="005D5272">
      <w:pPr>
        <w:ind w:firstLine="840"/>
        <w:rPr>
          <w:lang w:val="en-US"/>
        </w:rPr>
      </w:pPr>
      <w:r>
        <w:rPr>
          <w:noProof/>
        </w:rPr>
        <w:drawing>
          <wp:inline distT="0" distB="0" distL="0" distR="0" wp14:anchorId="5AEACEA1" wp14:editId="7D05CC6D">
            <wp:extent cx="2208530" cy="2244725"/>
            <wp:effectExtent l="19050" t="0" r="1270" b="0"/>
            <wp:docPr id="3" name="Рисунок 4" descr="ley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y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07EE9" wp14:editId="7691A0A9">
            <wp:extent cx="2220595" cy="2244725"/>
            <wp:effectExtent l="19050" t="0" r="8255" b="0"/>
            <wp:docPr id="2" name="Рисунок 5" descr="o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ms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Default="005D5272" w:rsidP="005D5272">
      <w:pPr>
        <w:rPr>
          <w:lang w:val="en-US"/>
        </w:rPr>
      </w:pPr>
    </w:p>
    <w:p w:rsidR="005D5272" w:rsidRDefault="005D5272" w:rsidP="005D5272">
      <w:pPr>
        <w:rPr>
          <w:lang w:val="en-US"/>
        </w:rPr>
      </w:pPr>
    </w:p>
    <w:p w:rsidR="005D5272" w:rsidRPr="00EF6B6F" w:rsidRDefault="005D5272" w:rsidP="005D5272">
      <w:pPr>
        <w:rPr>
          <w:b/>
          <w:sz w:val="22"/>
          <w:szCs w:val="22"/>
        </w:rPr>
      </w:pPr>
      <w:r w:rsidRPr="00EF6B6F">
        <w:rPr>
          <w:b/>
          <w:sz w:val="22"/>
          <w:szCs w:val="22"/>
        </w:rPr>
        <w:t xml:space="preserve">Рис. </w:t>
      </w:r>
      <w:r w:rsidRPr="00E73C22">
        <w:rPr>
          <w:b/>
          <w:sz w:val="22"/>
          <w:szCs w:val="22"/>
        </w:rPr>
        <w:t>6</w:t>
      </w:r>
      <w:r w:rsidRPr="00EF6B6F">
        <w:rPr>
          <w:b/>
          <w:sz w:val="22"/>
          <w:szCs w:val="22"/>
        </w:rPr>
        <w:t>. Рассчитанные по</w:t>
      </w:r>
      <w:r>
        <w:rPr>
          <w:b/>
          <w:sz w:val="22"/>
          <w:szCs w:val="22"/>
        </w:rPr>
        <w:t xml:space="preserve"> модели </w:t>
      </w:r>
      <w:r w:rsidRPr="00EF6B6F">
        <w:rPr>
          <w:b/>
          <w:sz w:val="22"/>
          <w:szCs w:val="22"/>
        </w:rPr>
        <w:t xml:space="preserve">составляющие скорости ветра на основе данных </w:t>
      </w:r>
      <w:r>
        <w:rPr>
          <w:b/>
          <w:sz w:val="22"/>
          <w:szCs w:val="22"/>
        </w:rPr>
        <w:t>Л</w:t>
      </w:r>
      <w:r w:rsidRPr="00EF6B6F">
        <w:rPr>
          <w:b/>
          <w:sz w:val="22"/>
          <w:szCs w:val="22"/>
        </w:rPr>
        <w:t xml:space="preserve">ейпцигского эксперимента (а) и по измеренному значению угла </w:t>
      </w:r>
      <w:r w:rsidRPr="00EF6B6F">
        <w:rPr>
          <w:position w:val="-10"/>
          <w:sz w:val="22"/>
          <w:szCs w:val="22"/>
        </w:rPr>
        <w:object w:dxaOrig="279" w:dyaOrig="260">
          <v:shape id="_x0000_i1026" type="#_x0000_t75" style="width:18pt;height:16.5pt" o:ole="">
            <v:imagedata r:id="rId18" o:title=""/>
          </v:shape>
          <o:OLEObject Type="Embed" ProgID="Equation.3" ShapeID="_x0000_i1026" DrawAspect="Content" ObjectID="_1559740097" r:id="rId19"/>
        </w:object>
      </w:r>
      <w:r w:rsidRPr="00EF6B6F">
        <w:rPr>
          <w:b/>
          <w:sz w:val="22"/>
          <w:szCs w:val="22"/>
        </w:rPr>
        <w:t xml:space="preserve"> на спутниковом снимке г. Омск (б). ●, ▲ –измеренные на различных уровнях компоненты скорости ветра </w:t>
      </w:r>
      <w:r w:rsidRPr="00EF6B6F">
        <w:rPr>
          <w:b/>
          <w:position w:val="-10"/>
          <w:sz w:val="22"/>
          <w:szCs w:val="22"/>
        </w:rPr>
        <w:object w:dxaOrig="600" w:dyaOrig="320">
          <v:shape id="_x0000_i1027" type="#_x0000_t75" style="width:38.25pt;height:20.25pt" o:ole="">
            <v:imagedata r:id="rId20" o:title=""/>
          </v:shape>
          <o:OLEObject Type="Embed" ProgID="Equation.3" ShapeID="_x0000_i1027" DrawAspect="Content" ObjectID="_1559740098" r:id="rId21"/>
        </w:object>
      </w:r>
      <w:r w:rsidRPr="00EF6B6F">
        <w:rPr>
          <w:b/>
          <w:sz w:val="22"/>
          <w:szCs w:val="22"/>
        </w:rPr>
        <w:t>соответственно</w:t>
      </w:r>
    </w:p>
    <w:p w:rsidR="005D5272" w:rsidRPr="00A15866" w:rsidRDefault="005D5272" w:rsidP="005D5272"/>
    <w:p w:rsidR="005D5272" w:rsidRPr="00156634" w:rsidRDefault="005D5272" w:rsidP="005D5272"/>
    <w:p w:rsidR="005D5272" w:rsidRPr="002053AA" w:rsidRDefault="005D5272" w:rsidP="005D5272">
      <w:pPr>
        <w:ind w:firstLine="720"/>
        <w:rPr>
          <w:sz w:val="32"/>
        </w:rPr>
      </w:pPr>
      <w:r>
        <w:lastRenderedPageBreak/>
        <w:t>Р</w:t>
      </w:r>
      <w:r w:rsidRPr="002053AA">
        <w:t xml:space="preserve">ассмотрены особенности расположения и локализации </w:t>
      </w:r>
      <w:r>
        <w:t xml:space="preserve">основных </w:t>
      </w:r>
      <w:r w:rsidRPr="002053AA">
        <w:t xml:space="preserve">источников эмиссии сажи на территории г. Красноярска. Показано что в условиях сложной орографии создаются условия к формированию экстремально высоких уровней загрязнения частицами пыли и черным углеродом. </w:t>
      </w:r>
      <w:r>
        <w:rPr>
          <w:lang w:val="en-US"/>
        </w:rPr>
        <w:t>C</w:t>
      </w:r>
      <w:proofErr w:type="spellStart"/>
      <w:r w:rsidRPr="002053AA">
        <w:rPr>
          <w:szCs w:val="48"/>
        </w:rPr>
        <w:t>тационарные</w:t>
      </w:r>
      <w:proofErr w:type="spellEnd"/>
      <w:r w:rsidRPr="002053AA">
        <w:rPr>
          <w:szCs w:val="48"/>
        </w:rPr>
        <w:t xml:space="preserve"> источники г.</w:t>
      </w:r>
      <w:r>
        <w:t xml:space="preserve"> </w:t>
      </w:r>
      <w:r w:rsidRPr="002053AA">
        <w:rPr>
          <w:szCs w:val="48"/>
        </w:rPr>
        <w:t>Красноярска выбрасывают в воздух 129,8 тыс. тонн загрязняющих веществ в год. Выброс от крупнейших предприятий составляет 91,9% от общего объема (47,2% - ОАО РУСАЛ Красноярск и 44,7% - ТЭЦ</w:t>
      </w:r>
      <w:r w:rsidRPr="00642D47">
        <w:rPr>
          <w:szCs w:val="48"/>
        </w:rPr>
        <w:t xml:space="preserve"> </w:t>
      </w:r>
      <w:r w:rsidRPr="002053AA">
        <w:rPr>
          <w:szCs w:val="48"/>
        </w:rPr>
        <w:t xml:space="preserve">1,2,3). </w:t>
      </w:r>
      <w:r>
        <w:rPr>
          <w:szCs w:val="48"/>
        </w:rPr>
        <w:t>Д</w:t>
      </w:r>
      <w:r w:rsidRPr="002053AA">
        <w:rPr>
          <w:szCs w:val="48"/>
        </w:rPr>
        <w:t>оля сажи в общем объеме выбросов составляет около 3</w:t>
      </w:r>
      <w:r>
        <w:rPr>
          <w:szCs w:val="48"/>
        </w:rPr>
        <w:t> </w:t>
      </w:r>
      <w:r w:rsidRPr="002053AA">
        <w:rPr>
          <w:szCs w:val="48"/>
        </w:rPr>
        <w:t xml:space="preserve">%. </w:t>
      </w:r>
      <w:r>
        <w:rPr>
          <w:szCs w:val="48"/>
        </w:rPr>
        <w:t>О</w:t>
      </w:r>
      <w:r w:rsidRPr="002053AA">
        <w:rPr>
          <w:szCs w:val="48"/>
        </w:rPr>
        <w:t>собенности расположения источников эмиссии черного углерода и сажи на территории города могут формировать значительный уровень риска здоровью населения</w:t>
      </w:r>
      <w:r>
        <w:rPr>
          <w:szCs w:val="48"/>
        </w:rPr>
        <w:t xml:space="preserve"> от загрязнения воздуха этими частицами.</w:t>
      </w:r>
    </w:p>
    <w:p w:rsidR="005D5272" w:rsidRDefault="005D5272" w:rsidP="005D5272">
      <w:pPr>
        <w:rPr>
          <w:b/>
        </w:rPr>
      </w:pPr>
    </w:p>
    <w:p w:rsidR="005D5272" w:rsidRDefault="005D5272" w:rsidP="005D5272">
      <w:pPr>
        <w:rPr>
          <w:b/>
        </w:rPr>
      </w:pPr>
    </w:p>
    <w:p w:rsidR="005D5272" w:rsidRDefault="005D5272" w:rsidP="005D5272">
      <w:pPr>
        <w:jc w:val="center"/>
        <w:rPr>
          <w:b/>
        </w:rPr>
      </w:pPr>
      <w:r>
        <w:rPr>
          <w:noProof/>
          <w:szCs w:val="48"/>
        </w:rPr>
        <w:drawing>
          <wp:inline distT="0" distB="0" distL="0" distR="0" wp14:anchorId="4BCD6270" wp14:editId="21464406">
            <wp:extent cx="5307965" cy="3087370"/>
            <wp:effectExtent l="19050" t="0" r="698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Default="005D5272" w:rsidP="005D5272">
      <w:pPr>
        <w:rPr>
          <w:b/>
        </w:rPr>
      </w:pPr>
    </w:p>
    <w:p w:rsidR="005D5272" w:rsidRDefault="005D5272" w:rsidP="005D5272">
      <w:pPr>
        <w:spacing w:line="360" w:lineRule="auto"/>
        <w:rPr>
          <w:b/>
          <w:szCs w:val="48"/>
        </w:rPr>
      </w:pPr>
      <w:r w:rsidRPr="00EA1137">
        <w:rPr>
          <w:b/>
          <w:szCs w:val="48"/>
        </w:rPr>
        <w:t xml:space="preserve">Рис. </w:t>
      </w:r>
      <w:r w:rsidRPr="00B61CD2">
        <w:rPr>
          <w:b/>
          <w:szCs w:val="48"/>
        </w:rPr>
        <w:t>7</w:t>
      </w:r>
      <w:r w:rsidRPr="00EA1137">
        <w:rPr>
          <w:b/>
          <w:szCs w:val="48"/>
        </w:rPr>
        <w:t>. – Источники выбросов сажи на территории г. Красноярска</w:t>
      </w:r>
    </w:p>
    <w:p w:rsidR="005D5272" w:rsidRPr="00EA1137" w:rsidRDefault="005D5272" w:rsidP="005D5272">
      <w:pPr>
        <w:spacing w:line="360" w:lineRule="auto"/>
        <w:rPr>
          <w:b/>
          <w:szCs w:val="48"/>
        </w:rPr>
      </w:pPr>
      <w:r>
        <w:rPr>
          <w:noProof/>
          <w:szCs w:val="28"/>
        </w:rPr>
        <w:drawing>
          <wp:inline distT="0" distB="0" distL="0" distR="0" wp14:anchorId="1FAC4BC9" wp14:editId="2FE41AF0">
            <wp:extent cx="5486400" cy="2363470"/>
            <wp:effectExtent l="0" t="0" r="0" b="0"/>
            <wp:docPr id="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2090" t="-4347" r="-2284" b="-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Pr="00EA1137" w:rsidRDefault="005D5272" w:rsidP="005D5272">
      <w:pPr>
        <w:jc w:val="center"/>
        <w:rPr>
          <w:b/>
          <w:szCs w:val="28"/>
        </w:rPr>
      </w:pPr>
      <w:r w:rsidRPr="00EA1137">
        <w:rPr>
          <w:b/>
          <w:szCs w:val="28"/>
        </w:rPr>
        <w:t xml:space="preserve">Рис. </w:t>
      </w:r>
      <w:r w:rsidRPr="00B61CD2">
        <w:rPr>
          <w:b/>
          <w:szCs w:val="28"/>
        </w:rPr>
        <w:t>8</w:t>
      </w:r>
      <w:r w:rsidRPr="00EA1137">
        <w:rPr>
          <w:b/>
          <w:szCs w:val="28"/>
        </w:rPr>
        <w:t>. – Распределение основных источников сажи по высотам труб</w:t>
      </w:r>
    </w:p>
    <w:p w:rsidR="005D5272" w:rsidRDefault="005D5272" w:rsidP="005D5272">
      <w:pPr>
        <w:rPr>
          <w:b/>
        </w:rPr>
      </w:pPr>
    </w:p>
    <w:p w:rsidR="005D5272" w:rsidRDefault="005D5272" w:rsidP="005D5272">
      <w:pPr>
        <w:rPr>
          <w:b/>
        </w:rPr>
      </w:pPr>
    </w:p>
    <w:p w:rsidR="005D5272" w:rsidRDefault="005D5272" w:rsidP="005D5272">
      <w:pPr>
        <w:spacing w:line="360" w:lineRule="auto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CEA3683" wp14:editId="203A2AD1">
            <wp:extent cx="5783580" cy="4109085"/>
            <wp:effectExtent l="19050" t="0" r="762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889" t="11932" r="18921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2" w:rsidRDefault="005D5272" w:rsidP="005D5272">
      <w:pPr>
        <w:spacing w:line="360" w:lineRule="auto"/>
        <w:ind w:firstLine="720"/>
        <w:rPr>
          <w:noProof/>
          <w:szCs w:val="28"/>
        </w:rPr>
      </w:pPr>
    </w:p>
    <w:p w:rsidR="005D5272" w:rsidRPr="00EA1137" w:rsidRDefault="005D5272" w:rsidP="005D5272">
      <w:pPr>
        <w:rPr>
          <w:b/>
          <w:szCs w:val="28"/>
        </w:rPr>
      </w:pPr>
      <w:r w:rsidRPr="00EA1137">
        <w:rPr>
          <w:b/>
          <w:szCs w:val="28"/>
        </w:rPr>
        <w:t xml:space="preserve">Рис. </w:t>
      </w:r>
      <w:r w:rsidRPr="00E73C22">
        <w:rPr>
          <w:b/>
          <w:szCs w:val="28"/>
        </w:rPr>
        <w:t>9</w:t>
      </w:r>
      <w:r w:rsidRPr="00EA1137">
        <w:rPr>
          <w:b/>
          <w:szCs w:val="28"/>
        </w:rPr>
        <w:t>. – Расчётные изолинии концентраций сажи н</w:t>
      </w:r>
      <w:r>
        <w:rPr>
          <w:b/>
          <w:szCs w:val="28"/>
        </w:rPr>
        <w:t xml:space="preserve">а территории </w:t>
      </w:r>
      <w:proofErr w:type="spellStart"/>
      <w:r>
        <w:rPr>
          <w:b/>
          <w:szCs w:val="28"/>
        </w:rPr>
        <w:t>г.</w:t>
      </w:r>
      <w:r w:rsidRPr="00EA1137">
        <w:rPr>
          <w:b/>
          <w:szCs w:val="28"/>
        </w:rPr>
        <w:t>Красноярска</w:t>
      </w:r>
      <w:proofErr w:type="spellEnd"/>
    </w:p>
    <w:p w:rsidR="005D5272" w:rsidRDefault="005D5272" w:rsidP="005D5272">
      <w:pPr>
        <w:spacing w:line="360" w:lineRule="auto"/>
        <w:ind w:firstLine="720"/>
        <w:rPr>
          <w:bCs/>
          <w:iCs/>
        </w:rPr>
      </w:pPr>
    </w:p>
    <w:p w:rsidR="005D5272" w:rsidRDefault="005D5272" w:rsidP="005D5272">
      <w:r w:rsidRPr="00156634">
        <w:tab/>
      </w:r>
      <w:r w:rsidRPr="001F088B">
        <w:t>Сформулированы и показаны основные критерии релевантности, которым должны отвечать первичные данные, получаемые с городских станций контроля загрязнения атмосферного воздуха. На примере г. Красноярска и некоторых районов США проведено сравнение характеристик контролируемых территорий и показателей загрязнения. Приведены примеры несоответствия получаемых данных параметрам эмиссии вследствие недостаточного учета особенностей воздухообмена и переноса загрязняющих веществ внутри квартальных территорий, предложены пути и методы решения</w:t>
      </w:r>
      <w:r>
        <w:t>.</w:t>
      </w:r>
    </w:p>
    <w:p w:rsidR="005D5272" w:rsidRPr="009A53E0" w:rsidRDefault="005D5272" w:rsidP="005D5272">
      <w:pPr>
        <w:rPr>
          <w:szCs w:val="28"/>
        </w:rPr>
      </w:pPr>
      <w:r w:rsidRPr="003207BA">
        <w:tab/>
      </w:r>
      <w:r>
        <w:t xml:space="preserve">Выполнен анализ соотношений вкладов в системе промышленные предприятия-автотранспорт. </w:t>
      </w:r>
      <w:r w:rsidRPr="009A53E0">
        <w:rPr>
          <w:szCs w:val="28"/>
        </w:rPr>
        <w:t>Наиболее</w:t>
      </w:r>
      <w:r>
        <w:rPr>
          <w:szCs w:val="28"/>
        </w:rPr>
        <w:t xml:space="preserve"> значимым результатом в анализе соотношения вкладов по выбросам в системе промышленные предприятия – автотранспорт, является выявленная недооценка вкладов в эмиссию по канцерогенным и токсичным углеводородам. Так, недооцененный выброс по бензолу от автотранспорта в г. Красноярске может составлять примерно от 50 до 200 тонн в год, а для ацетальдегида и 1,3-бутадиена – не менее 25 тонн в год.</w:t>
      </w:r>
    </w:p>
    <w:p w:rsidR="003873CC" w:rsidRDefault="003C19CF"/>
    <w:sectPr w:rsidR="0038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13"/>
    <w:rsid w:val="00071F2D"/>
    <w:rsid w:val="001105A7"/>
    <w:rsid w:val="00364D6B"/>
    <w:rsid w:val="00397E51"/>
    <w:rsid w:val="003C19CF"/>
    <w:rsid w:val="005C160C"/>
    <w:rsid w:val="005D5272"/>
    <w:rsid w:val="00C025A5"/>
    <w:rsid w:val="00D02713"/>
    <w:rsid w:val="00DF103F"/>
    <w:rsid w:val="00EE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02D18-46A1-4AD7-8F85-B821EA4A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5272"/>
    <w:pPr>
      <w:spacing w:after="0" w:line="288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D52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5272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5D52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image" Target="media/image14.w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1851</Words>
  <Characters>10553</Characters>
  <Application>Microsoft Office Word</Application>
  <DocSecurity>0</DocSecurity>
  <Lines>87</Lines>
  <Paragraphs>24</Paragraphs>
  <ScaleCrop>false</ScaleCrop>
  <Company/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 Kravt</dc:creator>
  <cp:keywords/>
  <dc:description/>
  <cp:lastModifiedBy>Vika Kravt</cp:lastModifiedBy>
  <cp:revision>3</cp:revision>
  <dcterms:created xsi:type="dcterms:W3CDTF">2017-06-23T08:20:00Z</dcterms:created>
  <dcterms:modified xsi:type="dcterms:W3CDTF">2017-06-23T09:22:00Z</dcterms:modified>
</cp:coreProperties>
</file>