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12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Реализован алгоритм решения стационарного уравнения Ламе для двумерной области с помощью рандомизированного векторного алгоритма. Уравнение Ламе записывается как система уравнений анизотропной диффузии для компонент решения по каждому направлению 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= (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). Правая часть уравнений для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содержит смешанные производные от второй компоненты решения, т.е. производную от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для уравнения на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и производную от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для уравнения на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. Для решения системы уравнений используется итерационный алгоритм, на каждом шаге которого решается уравнение анизотропной диффузии с правой частью, содержащей производную от решения на предыдущей итерации. Конечно-разностная аппроксимация уравнения анизотропной диффузии решается с помощью рандомизированного векторного алгоритма решения систем линейных алгебраических уравнений (СЛАУ) вида </w:t>
      </w:r>
      <w:r>
        <w:rPr>
          <w:rFonts w:ascii="Times New Roman" w:hAnsi="Times New Roman"/>
          <w:i/>
          <w:iCs/>
          <w:sz w:val="24"/>
          <w:szCs w:val="24"/>
        </w:rPr>
        <w:t>x=Ax+b</w:t>
      </w:r>
      <w:r>
        <w:rPr>
          <w:rFonts w:ascii="Times New Roman" w:hAnsi="Times New Roman"/>
          <w:sz w:val="24"/>
          <w:szCs w:val="24"/>
        </w:rPr>
        <w:t xml:space="preserve">, представленного в [1]. Этот алгоритм основан на рандомизированном вычислении ряда Неймана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  <m:subHide m:val="1"/>
            <m:supHide m:val="1"/>
          </m:naryPr>
          <m:sub/>
          <m:sup/>
          <m:e>
            <m:sSup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p>
                <m:r>
                  <w:rPr>
                    <w:rFonts w:ascii="Cambria Math" w:hAnsi="Cambria Math"/>
                  </w:rPr>
                  <m:t xml:space="preserve">k</m:t>
                </m:r>
              </m:sup>
            </m:sSup>
          </m:e>
        </m:nary>
        <m:r>
          <w:rPr>
            <w:rFonts w:ascii="Cambria Math" w:hAnsi="Cambria Math"/>
          </w:rPr>
          <m:t xml:space="preserve">b</m:t>
        </m:r>
      </m:oMath>
      <w:r>
        <w:rPr>
          <w:rFonts w:ascii="Times New Roman" w:hAnsi="Times New Roman"/>
          <w:sz w:val="24"/>
          <w:szCs w:val="24"/>
        </w:rPr>
        <w:t xml:space="preserve">. Для приведения СЛАУ к нужному виду </w:t>
      </w:r>
      <w:r>
        <w:rPr>
          <w:rFonts w:ascii="Times New Roman" w:hAnsi="Times New Roman"/>
          <w:i/>
          <w:iCs/>
          <w:sz w:val="24"/>
          <w:szCs w:val="24"/>
        </w:rPr>
        <w:t>x=Ax+b</w:t>
      </w:r>
      <w:r>
        <w:rPr>
          <w:rFonts w:ascii="Times New Roman" w:hAnsi="Times New Roman"/>
          <w:sz w:val="24"/>
          <w:szCs w:val="24"/>
        </w:rPr>
        <w:t xml:space="preserve"> и улучшению спектральных свойств матрицы 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используется красно-чёрное упорядочивание узлов сетки и преобразование к матричному виду метода Гаусса–Зейделя. Для ускорения расчётов реализована параллельная версия алгоритма путём распределения независимых траекторий, вычисляющих решение СЛАУ, между MPI-процессами. На рис. 1 представлены результаты численного решения уравнения Ламе для двумерной сетки размером 52×52 узла, что соответствует размеру СЛАУ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=2500. Точность решения зависит от количества траекторий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рандомизированного алгоритма решения СЛАУ. На графиках показаны результаты для </w:t>
      </w:r>
      <w:r>
        <w:rPr>
          <w:rFonts w:ascii="Times New Roman" w:hAnsi="Times New Roman"/>
          <w:i/>
          <w:iCs/>
          <w:sz w:val="24"/>
          <w:szCs w:val="24"/>
        </w:rPr>
        <w:t>Т=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t>Т=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. Видно, что решение уравнения Ламе «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_1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6» совпадает с точным значением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уже для </w:t>
      </w:r>
      <w:r>
        <w:rPr>
          <w:rFonts w:ascii="Times New Roman" w:hAnsi="Times New Roman"/>
          <w:i/>
          <w:iCs/>
          <w:sz w:val="24"/>
          <w:szCs w:val="24"/>
        </w:rPr>
        <w:t>Т=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. В значениях производной «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_1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6» присутствует шум, который уменьшается при увеличении числа траекторий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 Например, значения «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_1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7», вычисленные для </w:t>
      </w:r>
      <w:r>
        <w:rPr>
          <w:rFonts w:ascii="Times New Roman" w:hAnsi="Times New Roman"/>
          <w:i/>
          <w:iCs/>
          <w:sz w:val="24"/>
          <w:szCs w:val="24"/>
        </w:rPr>
        <w:t>Т=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, ближе к точным значениям производной 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 чем значения «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_1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6», вычисленные для </w:t>
      </w:r>
      <w:r>
        <w:rPr>
          <w:rFonts w:ascii="Times New Roman" w:hAnsi="Times New Roman"/>
          <w:i/>
          <w:iCs/>
          <w:sz w:val="24"/>
          <w:szCs w:val="24"/>
        </w:rPr>
        <w:t>Т=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. Время решения уравнения Ламе при использовании 48 MPI-процессов кластера “МВС-10П” составляет 30.2 секунды.</w:t>
      </w:r>
    </w:p>
    <w:tbl>
      <w:tblPr>
        <w:tblStyle w:val="af6"/>
        <w:tblW w:w="100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54"/>
      </w:tblGrid>
      <w:tr>
        <w:trPr/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bidi w:val="0"/>
              <w:spacing w:lineRule="auto" w:line="240" w:before="0" w:after="200"/>
              <w:ind w:left="0" w:firstLine="39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ListParagraph"/>
              <w:widowControl/>
              <w:bidi w:val="0"/>
              <w:spacing w:lineRule="auto" w:line="240" w:before="0" w:after="200"/>
              <w:ind w:left="0" w:firstLine="39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drawing>
                <wp:inline distT="0" distB="0" distL="0" distR="0">
                  <wp:extent cx="2724150" cy="209677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drawing>
                <wp:inline distT="0" distB="0" distL="0" distR="0">
                  <wp:extent cx="2725420" cy="2097405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209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bidi w:val="0"/>
              <w:spacing w:lineRule="auto" w:line="240" w:before="120" w:after="0"/>
              <w:ind w:left="0" w:hanging="0"/>
              <w:contextualSpacing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Рис. 1. – Численное решение уравнения Ламе (слева) и производная от реше</w:t>
            </w:r>
            <w:bookmarkStart w:id="0" w:name="_GoBack1"/>
            <w:bookmarkEnd w:id="0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ния (справа), вычисленные с помощью рандомизированного алгоритма решения СЛАУ</w:t>
            </w:r>
          </w:p>
        </w:tc>
      </w:tr>
    </w:tbl>
    <w:p>
      <w:pPr>
        <w:pStyle w:val="Default"/>
        <w:spacing w:lineRule="auto" w:line="240"/>
        <w:jc w:val="both"/>
        <w:rPr>
          <w:bCs/>
          <w:color w:val="auto"/>
        </w:rPr>
      </w:pP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bidi w:val="0"/>
        <w:spacing w:lineRule="auto" w:line="240"/>
        <w:ind w:firstLine="426"/>
        <w:jc w:val="both"/>
        <w:rPr>
          <w:bCs/>
          <w:color w:val="auto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Изучались алгоритмы компенсационного суммирования, которые позволяют уменьшить погрешность при сложении большого числа слагаемых. В частности, исследовалась способность алгоритмов компенсационного суммирования уменьшать погрешность при решении задач методом Монте-Карло. Проблема является актуальной, так как в последнее время достаточно широко применяются алгоритмы смешанной точности, когда часть вычислений для увеличения быстродействия проводится с переменными пониженной разрядности. На тестовых вычислениях эмпирических средних случайных величин было показано, что при использовании переменных с одинарной точностью могут возникать большие ошибки. Применение алгоритмов компенсационного суммирования позволяет эти ошибки существенно уменьшить. Были изучены три алгоритма компенсационного суммирования, наилучшим из которых показал себя алгоритм Кэхэна.</w:t>
      </w:r>
    </w:p>
    <w:p>
      <w:pPr>
        <w:pStyle w:val="Normal"/>
        <w:shd w:val="clear" w:color="auto" w:fill="FFFFFF"/>
        <w:bidi w:val="0"/>
        <w:spacing w:lineRule="auto" w:line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Методом Монте-Карло изучались процессы переноса оптического излучения в водном слое и проводились расчёты характеристик глубинного режима светового поля. Вычисления проводились для двух моделей водной среды различной степени прозрачности. Методом Монте-Карло оценивались угловые распределения освещённости на разных глубинах. Для определения оптического глубинного режима предложена методика на основе статистик Колмогорова – Смирнова и Пирсона.</w:t>
      </w:r>
    </w:p>
    <w:p>
      <w:pPr>
        <w:pStyle w:val="Normal"/>
        <w:shd w:val="clear" w:color="auto" w:fill="FFFFFF"/>
        <w:bidi w:val="0"/>
        <w:spacing w:lineRule="auto" w:line="240"/>
        <w:ind w:firstLine="426"/>
        <w:jc w:val="both"/>
        <w:rPr>
          <w:shd w:fill="FFFFFF" w:val="clear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40"/>
        <w:ind w:firstLine="426"/>
        <w:jc w:val="both"/>
        <w:rPr>
          <w:b/>
          <w:b/>
          <w:color w:val="auto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Разработаны три подхода по выбору константы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</m:oMath>
      <w:r>
        <w:rPr>
          <w:rFonts w:ascii="Times New Roman" w:hAnsi="Times New Roman"/>
          <w:color w:val="auto"/>
          <w:sz w:val="24"/>
          <w:szCs w:val="24"/>
        </w:rPr>
        <w:t xml:space="preserve"> в выражении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f>
          <m:fPr>
            <m:type m:val="lin"/>
          </m:fPr>
          <m:num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D</m:t>
                </m:r>
                <m:r>
                  <w:rPr>
                    <w:rFonts w:ascii="Cambria Math" w:hAnsi="Cambria Math"/>
                  </w:rPr>
                  <m:t xml:space="preserve">ζ</m:t>
                </m:r>
              </m:e>
            </m:rad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</m:rad>
          </m:den>
        </m:f>
      </m:oMath>
      <w:r>
        <w:rPr>
          <w:rFonts w:ascii="Times New Roman" w:hAnsi="Times New Roman"/>
          <w:color w:val="auto"/>
          <w:sz w:val="24"/>
          <w:szCs w:val="24"/>
        </w:rPr>
        <w:t xml:space="preserve"> для погрешности метода Монте-Карло для вычисления математического ожидания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ζ</m:t>
        </m:r>
      </m:oMath>
      <w:r>
        <w:rPr>
          <w:rFonts w:ascii="Times New Roman" w:hAnsi="Times New Roman"/>
          <w:iCs/>
          <w:color w:val="auto"/>
          <w:sz w:val="24"/>
          <w:szCs w:val="24"/>
        </w:rPr>
        <w:t xml:space="preserve"> случайной величины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ζ</m:t>
        </m:r>
      </m:oMath>
      <w:r>
        <w:rPr>
          <w:rFonts w:ascii="Times New Roman" w:hAnsi="Times New Roman"/>
          <w:color w:val="auto"/>
          <w:sz w:val="24"/>
          <w:szCs w:val="24"/>
        </w:rPr>
        <w:t xml:space="preserve">: по вероятности, в среднеквадратическом и в среднем. В практических исследованиях по методу Монте-Карло при оценке погрешности вычислений рекомендовано использовать подход «в среднем» с константой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2</m:t>
                </m:r>
              </m:num>
              <m:den>
                <m:r>
                  <w:rPr>
                    <w:rFonts w:ascii="Cambria Math" w:hAnsi="Cambria Math"/>
                  </w:rPr>
                  <m:t xml:space="preserve">π</m:t>
                </m:r>
              </m:den>
            </m:f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0,79788456079.</m:t>
        </m:r>
        <m: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.</m:t>
        </m:r>
      </m:oMath>
    </w:p>
    <w:p>
      <w:pPr>
        <w:pStyle w:val="Default"/>
        <w:spacing w:lineRule="auto" w:line="240"/>
        <w:ind w:firstLine="426"/>
        <w:jc w:val="both"/>
        <w:rPr>
          <w:b/>
          <w:b/>
          <w:color w:val="auto"/>
          <w:u w:val="singl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napToGrid w:val="false"/>
        <w:spacing w:lineRule="auto" w:line="240" w:before="0" w:after="0"/>
        <w:ind w:right="-1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Разработаны специальные модели многомерных распределений в виде смесей нормальных распределений и построены алгоритмы моделирования некоторых типов условных процессов. Рассматривается представление многомерной плотности распределения вектора, состоящего из двух подвекторов, в виде произведения двух плотностей. Первая представляет собой взвешенную сумму двух многомерных нормальных плотностей, а вторая – взвешенную сумму двух многомерных условных нормальных плотностей. Число переменных в этих плотностях соответствует размерности подвекторов рассматриваемого вектора. Получено выражение для итоговой плотности, состоящей из взвешенной суммы четырех нормальных распределений, а также исследованы свойства этого распределения. В частности, показано, что для определенного класса ковариационных матриц итоговое распределение вероятностей имеет вид смеси двух нормальных распределений. Для случая, когда параметры компонентов смеси известны, построены алгоритмы моделирования условных и безусловных случайных векторов, учитывающих специфику рассмотренных распределений. Для моделирования стационарных скалярных случайных рядов на основе реальных данных с распределениями в виде смеси двух нормальных распределений с учетом корреляционных связей между смежными элементами ряда разработан алгоритм, включающий в себя известный ЕМ алгоритм для разделения компонентов смеси,  последовательное применение метода условных распределений для каждого элемента ряда и метод исключения для построения соответствующих условных реализаций. Векторные стационарные ряды, например, совместные ряды минимальной и максимальной за сутки температуры воздуха с двумерными распределениями в виде смеси двух нормальных распределений, учитывающие межсуточные корреляционные связи строятся аналогично, но соответствующий алгоритм является более трудоемким, главным образом за счет метода исключения.</w:t>
      </w:r>
    </w:p>
    <w:p>
      <w:pPr>
        <w:pStyle w:val="Normal"/>
        <w:bidi w:val="0"/>
        <w:snapToGrid w:val="false"/>
        <w:spacing w:lineRule="auto" w:line="240" w:before="0" w:after="0"/>
        <w:ind w:right="-1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napToGrid w:val="false"/>
        <w:spacing w:lineRule="auto" w:line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Проводятся исследования по разработке новых алгоритмов численного статистического моделирования процессов и полей гидрометеорологических параметров с заданными одномерными распределениями и корреляциями на основе данных многолетних наблюдений на отдельных метеорологических станциях, а также на сети метостанций, расположенных в различных климатических зонах Восточной Сибири и Дальнего Востока. При этих исследованиях возникает необходимость решать задачи большой размерности и трудоемкости. В связи с этим, проводятся работы по реализации алгоритмов моделирования негауссовских процессов с использованием технологий параллельного программирования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bidi w:val="0"/>
        <w:snapToGrid w:val="false"/>
        <w:spacing w:lineRule="auto" w:line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firstLine="426"/>
        <w:jc w:val="both"/>
        <w:rPr>
          <w:rFonts w:eastAsia="FZYaoTi"/>
        </w:rPr>
      </w:pPr>
      <w:r>
        <w:rPr>
          <w:rFonts w:eastAsia="FZYaoTi" w:ascii="Times New Roman" w:hAnsi="Times New Roman"/>
          <w:sz w:val="24"/>
          <w:szCs w:val="24"/>
        </w:rPr>
        <w:t>Разработан алгоритм метода Монте-Карло для численного моделирования процесса переноса оптического излучения в рассеивающих средах, рассеивающими элементами которых являются прозрачные или полупрозрачные кристаллические частицы. Главное внимание в работе уделено решению одной из важнейших задач атмосферной оптики – исследованию переноса солнечного излучения в перистых облаках, состоящих из ледяных кристаллических частиц. Основной целью такого исследования является построение адекватной радиационной модели кристаллической облачности с учетом многократного рассеяния. Рассмотрены два алгоритма численного моделирования переноса излучения, основанных на методе Монте-Карло и трассировке лучей. Первый алгоритм можно назвать традиционным. Он хорошо известен и широко используется многими авторами для оценки линейных функционалов от решения уравнения переноса оптического излучения в изотропных средах, в которых индикатрисы рассеяния не зависят от направления движения световых квантов, а являются функциями углов рассеяния. Этот алгоритм адаптирован к задачам переноса излучения в анизотропных кристаллических средах. Применение его для кристаллических сред требует получения и хранения значительного объема начальных данных о первичных оптических характеристиках (коэффициенты ослабления и трехмерные матрицы рассеяния излучения), необходимых для моделирования процессов рассеяния. Этот объем особенно возрастает для неоднородных стохастических рассеивающих сред, в которых форма, размер и ориентация частиц являются случайными функциями от пространственных координат. Ключевая идея второго, альтернативного, алгоритма заключается в том, что в процессе моделирования траекторий фотонов направление рассеяния светового кванта после столкновения с кристаллом моделируется с использованием трассировки лучей при условии, что предварительно случайно выбраны форма, размер и ориентация частицы из некоторого случайного распределения, задающего состав рассеивающей среды. В этом алгоритме нет необходимости предварительных расчетов большого массива данных о первичных оптических характеристиках рассеивающих сред. Алгоритм имеет ограничение на размеры кристаллических частиц: их линейный размер должен значительно превосходить длину волны излучения, так как при моделировании углов рассеяния используются законы геометрической оптики и не учитываются волновые эффекты.</w:t>
      </w:r>
    </w:p>
    <w:p>
      <w:pPr>
        <w:pStyle w:val="Normal"/>
        <w:bidi w:val="0"/>
        <w:spacing w:lineRule="auto" w:line="240"/>
        <w:ind w:firstLine="426"/>
        <w:jc w:val="both"/>
        <w:rPr>
          <w:rFonts w:eastAsia="FZYaoTi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40"/>
        <w:ind w:firstLine="426"/>
        <w:jc w:val="both"/>
        <w:rPr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Представлена оптимальная форма записи методов типа Розенброка с точки зрения числа ненулевых параметров и вычислительных затрат на шаге. Получены условия согласованности и устойчивости, теоремы сходимости решения (m, k)-схем для задач индекса два и ниже. Разработан L-устойчивый (5, 4)-метод четвёртого порядка точности, для которого требуются одно вычисление матрицы Якоби и одна LU-декомпозиция на шаге. На базе метода сформулирован алгоритм интегрирования переменного шага, позволяющий решать как явные, так и неявные системы ОДУ. Приведены численные результаты, подтверждающие эффективность алгоритма.</w:t>
      </w:r>
    </w:p>
    <w:p>
      <w:pPr>
        <w:pStyle w:val="ListParagraph"/>
        <w:suppressAutoHyphens w:val="true"/>
        <w:bidi w:val="0"/>
        <w:spacing w:lineRule="auto" w:line="240" w:before="0" w:after="0"/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Построен алгоритм переменной структуры на основе явных методов Рунге-Кутты с расширенными областями устойчивости порядка согласованности до трёх и </w:t>
      </w:r>
      <w:r>
        <w:rPr>
          <w:rFonts w:ascii="Times New Roman" w:hAnsi="Times New Roman"/>
          <w:sz w:val="24"/>
          <w:szCs w:val="24"/>
          <w:shd w:fill="FFFFFF" w:val="clear"/>
        </w:rPr>
        <w:t>(m, k)</w:t>
      </w:r>
      <w:r>
        <w:rPr>
          <w:rFonts w:ascii="Times New Roman" w:hAnsi="Times New Roman"/>
          <w:bCs/>
          <w:sz w:val="24"/>
          <w:szCs w:val="24"/>
        </w:rPr>
        <w:t>-схемы четвёртого порядка точности.</w:t>
      </w:r>
    </w:p>
    <w:p>
      <w:pPr>
        <w:pStyle w:val="Default"/>
        <w:spacing w:lineRule="auto" w:line="240" w:before="120" w:after="0"/>
        <w:ind w:firstLine="425"/>
        <w:jc w:val="both"/>
        <w:rPr>
          <w:bCs/>
          <w:color w:val="auto"/>
          <w:u w:val="single"/>
          <w:lang w:val="en-US"/>
        </w:rPr>
      </w:pPr>
      <w:r>
        <w:rPr>
          <w:rFonts w:ascii="Times New Roman" w:hAnsi="Times New Roman"/>
          <w:bCs/>
          <w:color w:val="auto"/>
          <w:sz w:val="24"/>
          <w:szCs w:val="24"/>
          <w:u w:val="single"/>
        </w:rPr>
        <w:t>Используемые</w:t>
      </w:r>
      <w:r>
        <w:rPr>
          <w:rFonts w:ascii="Times New Roman" w:hAnsi="Times New Roman"/>
          <w:bCs/>
          <w:color w:val="auto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u w:val="single"/>
        </w:rPr>
        <w:t>источники</w:t>
      </w:r>
    </w:p>
    <w:p>
      <w:pPr>
        <w:pStyle w:val="Default"/>
        <w:spacing w:lineRule="auto" w:line="240"/>
        <w:ind w:left="567" w:hanging="141"/>
        <w:jc w:val="both"/>
        <w:rPr>
          <w:color w:val="auto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[1]. Sabelfeld K. K. Randomized Monte Carlo algorithms for matrix iterations and solving large systems of linear equations. // Monte Carlo Methods and Applications, 2022, V. 28, No 2, p. 125–133. https://doi.org/10.1515/mcma-2022-2114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Liberation Serif" w:hAnsi="Liberation Serif" w:eastAsia="Noto Serif CJK SC" w:cs="Lohit Devanagari"/>
      <w:color w:val="000000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firstLine="397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3</Pages>
  <Words>1154</Words>
  <Characters>8609</Characters>
  <CharactersWithSpaces>9758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2024-02-02T22:08:47Z</dcterms:created>
  <dc:creator/>
  <dc:description/>
  <dc:language>ru-RU</dc:language>
  <cp:lastModifiedBy/>
  <dcterms:modified xsi:type="dcterms:W3CDTF">2024-02-02T22:12:49Z</dcterms:modified>
  <cp:revision>1</cp:revision>
  <dc:subject/>
  <dc:title/>
</cp:coreProperties>
</file>