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75" w:rsidRDefault="001B5675" w:rsidP="001B5675">
      <w:pPr>
        <w:pStyle w:val="3"/>
      </w:pPr>
      <w:r>
        <w:t>Результаты работ по грантам РНФ</w:t>
      </w:r>
    </w:p>
    <w:p w:rsidR="001B5675" w:rsidRDefault="001B5675" w:rsidP="001B5675">
      <w:pPr>
        <w:ind w:firstLine="397"/>
      </w:pPr>
      <w:r>
        <w:rPr>
          <w:b/>
          <w:bCs/>
        </w:rPr>
        <w:t>Грант РНФ 23-21-00385</w:t>
      </w:r>
      <w: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Разработка алгоритмов и технологий декомпозиции области для численного моделирования интенсивных пучков заряженных частиц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квазиструктурированных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сетках".</w:t>
      </w:r>
    </w:p>
    <w:p w:rsidR="001B5675" w:rsidRDefault="001B5675" w:rsidP="001B5675">
      <w:pPr>
        <w:ind w:firstLine="397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Руководитель – д.ф.-м.н. Свешников В.М.</w:t>
      </w:r>
    </w:p>
    <w:p w:rsidR="001B5675" w:rsidRDefault="001B5675" w:rsidP="001B5675">
      <w:pPr>
        <w:tabs>
          <w:tab w:val="left" w:pos="581"/>
          <w:tab w:val="left" w:pos="853"/>
        </w:tabs>
        <w:ind w:firstLine="4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Проведены экспериментальные исследования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краевых задач методом декомпозиции области на подобласти, сопрягаемые без наложения. Суть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при выполнении итерационного алгоритма меняется обход узлов сеточной области с целью как можно дольше сохранять данные в быстрой памяти, не меняя самого алгоритма.</w:t>
      </w:r>
    </w:p>
    <w:p w:rsidR="001B5675" w:rsidRDefault="001B5675" w:rsidP="001B5675">
      <w:pPr>
        <w:tabs>
          <w:tab w:val="left" w:pos="581"/>
          <w:tab w:val="left" w:pos="853"/>
        </w:tabs>
        <w:ind w:firstLine="4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Проведены исследования разбалансировки процессоров при распараллеливании решения 3D краевых задач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квазиструктурированных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сетках. Предполагается применение таких сеток в условиях, когда регулярных подобластей, лежащих внутри расчетной области, намного больше, чем нерегулярных, лежащих вблизи границы. На практике – это, например, численное моделирование интенсивных пучков заряженных частиц, движущихся в областях со сложной конфигурацией границы.</w:t>
      </w:r>
    </w:p>
    <w:p w:rsidR="001B5675" w:rsidRDefault="001B5675" w:rsidP="001B5675">
      <w:pPr>
        <w:tabs>
          <w:tab w:val="left" w:pos="225"/>
          <w:tab w:val="left" w:pos="581"/>
        </w:tabs>
        <w:ind w:firstLine="420"/>
        <w:jc w:val="both"/>
      </w:pPr>
      <w:r>
        <w:rPr>
          <w:rFonts w:ascii="Times New Roman" w:hAnsi="Times New Roman" w:cs="Times New Roman"/>
          <w:sz w:val="24"/>
          <w:szCs w:val="24"/>
        </w:rPr>
        <w:t>Предложен и экспериментально исследован алгоритм расчета потенциала и напряженности электрического поля вблизи сложных криволинейных границ расчетной области. Разработан специальный алгоритм повышенной точности восстановления потенциала, основанный на методе наименьших квадратов.</w:t>
      </w:r>
    </w:p>
    <w:p w:rsidR="001B5675" w:rsidRDefault="001B5675">
      <w:bookmarkStart w:id="0" w:name="_GoBack"/>
      <w:bookmarkEnd w:id="0"/>
    </w:p>
    <w:sectPr w:rsidR="001B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75"/>
    <w:rsid w:val="001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935B-DAE7-49FE-AEB0-3A6FC1C3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B5675"/>
    <w:pPr>
      <w:keepNext/>
      <w:suppressAutoHyphens/>
      <w:spacing w:before="240" w:after="120" w:line="240" w:lineRule="auto"/>
      <w:jc w:val="center"/>
      <w:outlineLvl w:val="2"/>
    </w:pPr>
    <w:rPr>
      <w:rFonts w:ascii="Times New Roman" w:eastAsia="Noto Serif CJK SC" w:hAnsi="Times New Roman" w:cs="Arial"/>
      <w:b/>
      <w:bCs/>
      <w:kern w:val="2"/>
      <w:sz w:val="24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5675"/>
    <w:rPr>
      <w:rFonts w:ascii="Times New Roman" w:eastAsia="Noto Serif CJK SC" w:hAnsi="Times New Roman" w:cs="Arial"/>
      <w:b/>
      <w:bCs/>
      <w:kern w:val="2"/>
      <w:sz w:val="24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2024-01-24T10:10:00Z</dcterms:created>
  <dcterms:modified xsi:type="dcterms:W3CDTF">2024-01-24T10:11:00Z</dcterms:modified>
</cp:coreProperties>
</file>