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64" w:rsidRDefault="00474564" w:rsidP="00474564">
      <w:pPr>
        <w:ind w:firstLine="0"/>
        <w:rPr>
          <w:b/>
          <w:sz w:val="28"/>
          <w:szCs w:val="24"/>
        </w:rPr>
      </w:pPr>
      <w:r w:rsidRPr="00474564">
        <w:rPr>
          <w:b/>
          <w:bCs/>
          <w:sz w:val="28"/>
          <w:szCs w:val="24"/>
        </w:rPr>
        <w:t>Проект СО РАН 4.6 Программа Президиума РАН 4.</w:t>
      </w:r>
      <w:r w:rsidRPr="00474564">
        <w:rPr>
          <w:b/>
          <w:sz w:val="28"/>
          <w:szCs w:val="24"/>
        </w:rPr>
        <w:t xml:space="preserve"> </w:t>
      </w:r>
    </w:p>
    <w:p w:rsidR="00BB55CA" w:rsidRPr="00BB55CA" w:rsidRDefault="00BB55CA" w:rsidP="00474564">
      <w:pPr>
        <w:ind w:firstLine="0"/>
        <w:rPr>
          <w:sz w:val="28"/>
          <w:szCs w:val="24"/>
        </w:rPr>
      </w:pPr>
      <w:r w:rsidRPr="00BB55CA">
        <w:rPr>
          <w:sz w:val="28"/>
          <w:szCs w:val="24"/>
        </w:rPr>
        <w:t xml:space="preserve">Исследования строения земной коры и геодинамических процессов в южной части Байкальской </w:t>
      </w:r>
      <w:proofErr w:type="spellStart"/>
      <w:r w:rsidRPr="00BB55CA">
        <w:rPr>
          <w:sz w:val="28"/>
          <w:szCs w:val="24"/>
        </w:rPr>
        <w:t>рифтовой</w:t>
      </w:r>
      <w:proofErr w:type="spellEnd"/>
      <w:r w:rsidRPr="00BB55CA">
        <w:rPr>
          <w:sz w:val="28"/>
          <w:szCs w:val="24"/>
        </w:rPr>
        <w:t xml:space="preserve"> зоны и северной Монголии вибросейсмическими методами</w:t>
      </w:r>
    </w:p>
    <w:p w:rsidR="00474564" w:rsidRDefault="00474564" w:rsidP="00474564">
      <w:pPr>
        <w:spacing w:before="120"/>
        <w:ind w:firstLine="0"/>
        <w:rPr>
          <w:sz w:val="24"/>
          <w:szCs w:val="24"/>
        </w:rPr>
      </w:pPr>
      <w:r w:rsidRPr="00474564">
        <w:rPr>
          <w:sz w:val="24"/>
          <w:szCs w:val="24"/>
        </w:rPr>
        <w:t>Ответственный исполнитель д.т.н. Ковалевский В.В.</w:t>
      </w:r>
    </w:p>
    <w:p w:rsidR="00474564" w:rsidRPr="009E1D01" w:rsidRDefault="00474564" w:rsidP="00474564">
      <w:pPr>
        <w:ind w:firstLine="0"/>
        <w:rPr>
          <w:sz w:val="24"/>
          <w:szCs w:val="24"/>
        </w:rPr>
      </w:pPr>
    </w:p>
    <w:p w:rsidR="00474564" w:rsidRPr="009E1D01" w:rsidRDefault="00474564" w:rsidP="00474564">
      <w:pPr>
        <w:ind w:firstLine="0"/>
        <w:jc w:val="center"/>
        <w:rPr>
          <w:b/>
          <w:sz w:val="24"/>
          <w:szCs w:val="24"/>
        </w:rPr>
      </w:pPr>
      <w:r w:rsidRPr="009E1D01">
        <w:rPr>
          <w:b/>
          <w:sz w:val="24"/>
          <w:szCs w:val="24"/>
        </w:rPr>
        <w:t>Основные результаты, полученные в ходе выполнения проекта.</w:t>
      </w:r>
    </w:p>
    <w:p w:rsidR="00474564" w:rsidRPr="009E1D01" w:rsidRDefault="00474564" w:rsidP="00474564">
      <w:pPr>
        <w:rPr>
          <w:sz w:val="24"/>
          <w:szCs w:val="24"/>
        </w:rPr>
      </w:pPr>
      <w:r w:rsidRPr="009E1D01">
        <w:rPr>
          <w:sz w:val="24"/>
          <w:szCs w:val="24"/>
        </w:rPr>
        <w:t xml:space="preserve">Выполнены работы по </w:t>
      </w:r>
      <w:r w:rsidRPr="009E1D01">
        <w:rPr>
          <w:bCs/>
          <w:sz w:val="24"/>
          <w:szCs w:val="24"/>
        </w:rPr>
        <w:t xml:space="preserve">численному моделированию волновых полей в задачах вибросейсмического мониторинга районов со сложным рельефом, к которым относится Байкальская </w:t>
      </w:r>
      <w:proofErr w:type="spellStart"/>
      <w:r w:rsidRPr="009E1D01">
        <w:rPr>
          <w:bCs/>
          <w:sz w:val="24"/>
          <w:szCs w:val="24"/>
        </w:rPr>
        <w:t>рифтовая</w:t>
      </w:r>
      <w:proofErr w:type="spellEnd"/>
      <w:r w:rsidRPr="009E1D01">
        <w:rPr>
          <w:bCs/>
          <w:sz w:val="24"/>
          <w:szCs w:val="24"/>
        </w:rPr>
        <w:t xml:space="preserve"> зона. Р</w:t>
      </w:r>
      <w:r w:rsidRPr="009E1D01">
        <w:rPr>
          <w:sz w:val="24"/>
          <w:szCs w:val="24"/>
        </w:rPr>
        <w:t xml:space="preserve">азработаны параллельные алгоритмы, на основе конечно разностного метода, и создан комплекс программ для численного </w:t>
      </w:r>
      <w:r w:rsidRPr="00474564">
        <w:rPr>
          <w:sz w:val="22"/>
          <w:szCs w:val="24"/>
        </w:rPr>
        <w:t>моделирования</w:t>
      </w:r>
      <w:r w:rsidRPr="009E1D01">
        <w:rPr>
          <w:sz w:val="24"/>
          <w:szCs w:val="24"/>
        </w:rPr>
        <w:t xml:space="preserve"> распространения упругих волн в трехмерных моделях упругих сред, включая случай сред с криволинейной свободной поверхностью. В связи с тем, что для проведения расчетов распространения упругих волн в 3</w:t>
      </w:r>
      <w:r w:rsidRPr="009E1D01">
        <w:rPr>
          <w:sz w:val="24"/>
          <w:szCs w:val="24"/>
          <w:lang w:val="en-US"/>
        </w:rPr>
        <w:t>D</w:t>
      </w:r>
      <w:r w:rsidRPr="009E1D01">
        <w:rPr>
          <w:sz w:val="24"/>
          <w:szCs w:val="24"/>
        </w:rPr>
        <w:t xml:space="preserve"> средах необходимо задание границ раздела сред и параметров модели, был разработан программный построитель модели который позволяет задать, необходимые для расчета, границы и параметры 3</w:t>
      </w:r>
      <w:r w:rsidRPr="009E1D01">
        <w:rPr>
          <w:sz w:val="24"/>
          <w:szCs w:val="24"/>
          <w:lang w:val="en-US"/>
        </w:rPr>
        <w:t>D</w:t>
      </w:r>
      <w:r w:rsidRPr="009E1D01">
        <w:rPr>
          <w:sz w:val="24"/>
          <w:szCs w:val="24"/>
        </w:rPr>
        <w:t xml:space="preserve"> модели геологических сред близкие </w:t>
      </w:r>
      <w:proofErr w:type="gramStart"/>
      <w:r w:rsidRPr="009E1D01">
        <w:rPr>
          <w:sz w:val="24"/>
          <w:szCs w:val="24"/>
        </w:rPr>
        <w:t>к</w:t>
      </w:r>
      <w:proofErr w:type="gramEnd"/>
      <w:r w:rsidRPr="009E1D01">
        <w:rPr>
          <w:sz w:val="24"/>
          <w:szCs w:val="24"/>
        </w:rPr>
        <w:t xml:space="preserve"> реальным. Были созданы следующие программы: программа задания параметров 2</w:t>
      </w:r>
      <w:r w:rsidRPr="009E1D01">
        <w:rPr>
          <w:sz w:val="24"/>
          <w:szCs w:val="24"/>
          <w:lang w:val="en-US"/>
        </w:rPr>
        <w:t>D</w:t>
      </w:r>
      <w:r w:rsidRPr="009E1D01">
        <w:rPr>
          <w:sz w:val="24"/>
          <w:szCs w:val="24"/>
        </w:rPr>
        <w:t xml:space="preserve"> и 3</w:t>
      </w:r>
      <w:r w:rsidRPr="009E1D01">
        <w:rPr>
          <w:sz w:val="24"/>
          <w:szCs w:val="24"/>
          <w:lang w:val="en-US"/>
        </w:rPr>
        <w:t>D</w:t>
      </w:r>
      <w:r w:rsidRPr="009E1D01">
        <w:rPr>
          <w:sz w:val="24"/>
          <w:szCs w:val="24"/>
        </w:rPr>
        <w:t xml:space="preserve"> моделей упругой среды; программа для численного моделирования распространения упругих волн в 2</w:t>
      </w:r>
      <w:r w:rsidRPr="009E1D01">
        <w:rPr>
          <w:sz w:val="24"/>
          <w:szCs w:val="24"/>
          <w:lang w:val="en-US"/>
        </w:rPr>
        <w:t>D</w:t>
      </w:r>
      <w:r w:rsidRPr="009E1D01">
        <w:rPr>
          <w:sz w:val="24"/>
          <w:szCs w:val="24"/>
        </w:rPr>
        <w:t xml:space="preserve"> моделях упругих сред; программа для численного моделирования распространения упругих волн в 3</w:t>
      </w:r>
      <w:r w:rsidRPr="009E1D01">
        <w:rPr>
          <w:sz w:val="24"/>
          <w:szCs w:val="24"/>
          <w:lang w:val="en-US"/>
        </w:rPr>
        <w:t>D</w:t>
      </w:r>
      <w:r w:rsidRPr="009E1D01">
        <w:rPr>
          <w:sz w:val="24"/>
          <w:szCs w:val="24"/>
        </w:rPr>
        <w:t xml:space="preserve"> моделях упругих сред. Эти программы были использованы для проведения серии тестовых расчетов, на параллельных вычислительных комплексах, для сложно построенных двумерных и трехмерных моделей упругих сред. С подготовленным комплексом программ проводится полномасштабное моделирование распространения упругих волн в моделях сред характерных для Южно Байкальского региона с учетом рельефа и известных физических параметров данного региона. </w:t>
      </w:r>
    </w:p>
    <w:p w:rsidR="00474564" w:rsidRPr="009E1D01" w:rsidRDefault="00474564" w:rsidP="00474564">
      <w:pPr>
        <w:pStyle w:val="a3"/>
        <w:spacing w:line="240" w:lineRule="auto"/>
        <w:ind w:firstLine="567"/>
        <w:rPr>
          <w:szCs w:val="24"/>
        </w:rPr>
      </w:pPr>
      <w:r w:rsidRPr="009E1D01">
        <w:rPr>
          <w:szCs w:val="24"/>
        </w:rPr>
        <w:t xml:space="preserve">Проведена обработка вибросейсмических данных полевых экспериментальных работ по вибросейсмическому просвечиванию и мониторингу разломных зон хребта </w:t>
      </w:r>
      <w:proofErr w:type="spellStart"/>
      <w:proofErr w:type="gramStart"/>
      <w:r w:rsidRPr="009E1D01">
        <w:rPr>
          <w:szCs w:val="24"/>
        </w:rPr>
        <w:t>Хама</w:t>
      </w:r>
      <w:proofErr w:type="gramEnd"/>
      <w:r w:rsidRPr="009E1D01">
        <w:rPr>
          <w:szCs w:val="24"/>
        </w:rPr>
        <w:t>́р-Даба́н</w:t>
      </w:r>
      <w:proofErr w:type="spellEnd"/>
      <w:r w:rsidRPr="009E1D01">
        <w:rPr>
          <w:szCs w:val="24"/>
        </w:rPr>
        <w:t xml:space="preserve"> (юго-восток Байкала). Работы выполнены в кооперации институтов СО РАН: Института вычислительной математики и математической геофизики СО РАН, Новосибирск, </w:t>
      </w:r>
      <w:proofErr w:type="spellStart"/>
      <w:r w:rsidRPr="009E1D01">
        <w:rPr>
          <w:szCs w:val="24"/>
        </w:rPr>
        <w:t>Геологическог</w:t>
      </w:r>
      <w:proofErr w:type="spellEnd"/>
      <w:r w:rsidRPr="009E1D01">
        <w:rPr>
          <w:szCs w:val="24"/>
        </w:rPr>
        <w:t xml:space="preserve"> </w:t>
      </w:r>
      <w:proofErr w:type="spellStart"/>
      <w:r w:rsidRPr="009E1D01">
        <w:rPr>
          <w:szCs w:val="24"/>
        </w:rPr>
        <w:t>институто</w:t>
      </w:r>
      <w:proofErr w:type="spellEnd"/>
      <w:r w:rsidRPr="009E1D01">
        <w:rPr>
          <w:szCs w:val="24"/>
        </w:rPr>
        <w:t xml:space="preserve"> СО РАН, Улан-Удэ, Бурятского филиала ГС СО РАН, Улан-Удэ, Байкальского филиала ГС СО РАН, Иркутск. </w:t>
      </w:r>
    </w:p>
    <w:p w:rsidR="00474564" w:rsidRPr="009E1D01" w:rsidRDefault="00474564" w:rsidP="00474564">
      <w:pPr>
        <w:ind w:firstLine="540"/>
        <w:rPr>
          <w:sz w:val="24"/>
          <w:szCs w:val="24"/>
        </w:rPr>
      </w:pPr>
      <w:r w:rsidRPr="009E1D01">
        <w:rPr>
          <w:sz w:val="24"/>
          <w:szCs w:val="24"/>
        </w:rPr>
        <w:t xml:space="preserve">В экспериментах структура вибросейсмического поля при прохождении разломных зон хребта </w:t>
      </w:r>
      <w:proofErr w:type="spellStart"/>
      <w:proofErr w:type="gramStart"/>
      <w:r w:rsidRPr="009E1D01">
        <w:rPr>
          <w:sz w:val="24"/>
          <w:szCs w:val="24"/>
        </w:rPr>
        <w:t>Хама</w:t>
      </w:r>
      <w:proofErr w:type="gramEnd"/>
      <w:r w:rsidRPr="009E1D01">
        <w:rPr>
          <w:sz w:val="24"/>
          <w:szCs w:val="24"/>
        </w:rPr>
        <w:t>́р-Даба́н</w:t>
      </w:r>
      <w:proofErr w:type="spellEnd"/>
      <w:r w:rsidRPr="009E1D01">
        <w:rPr>
          <w:sz w:val="24"/>
          <w:szCs w:val="24"/>
        </w:rPr>
        <w:t xml:space="preserve"> исследовалась с использованием источника сейсмических волн вибратора СВ-100, расположенный на Южно-Байкальском вибросейсмическом полигоне СО РАН, п. Бабушкин. Излучение сигналов вибратором осуществлялось в режиме </w:t>
      </w:r>
      <w:proofErr w:type="spellStart"/>
      <w:r w:rsidRPr="009E1D01">
        <w:rPr>
          <w:sz w:val="24"/>
          <w:szCs w:val="24"/>
        </w:rPr>
        <w:t>свип-сигналов</w:t>
      </w:r>
      <w:proofErr w:type="spellEnd"/>
      <w:r w:rsidRPr="009E1D01">
        <w:rPr>
          <w:sz w:val="24"/>
          <w:szCs w:val="24"/>
        </w:rPr>
        <w:t xml:space="preserve"> в диапазоне частот 6-10 Гц, и в режиме гармонического излучения на фиксированных частотах 7 </w:t>
      </w:r>
      <w:proofErr w:type="spellStart"/>
      <w:r w:rsidRPr="009E1D01">
        <w:rPr>
          <w:sz w:val="24"/>
          <w:szCs w:val="24"/>
        </w:rPr>
        <w:t>ц</w:t>
      </w:r>
      <w:proofErr w:type="spellEnd"/>
      <w:r w:rsidRPr="009E1D01">
        <w:rPr>
          <w:sz w:val="24"/>
          <w:szCs w:val="24"/>
        </w:rPr>
        <w:t xml:space="preserve">, 8 Гц, 9 Гц. </w:t>
      </w:r>
      <w:proofErr w:type="gramStart"/>
      <w:r w:rsidRPr="009E1D01">
        <w:rPr>
          <w:sz w:val="24"/>
          <w:szCs w:val="24"/>
        </w:rPr>
        <w:t xml:space="preserve">Регистрация осуществлялась на профилях длиной 5 - 10 км в зонах разломов  вдоль реки </w:t>
      </w:r>
      <w:proofErr w:type="spellStart"/>
      <w:r w:rsidRPr="009E1D01">
        <w:rPr>
          <w:sz w:val="24"/>
          <w:szCs w:val="24"/>
        </w:rPr>
        <w:t>Мантуриха</w:t>
      </w:r>
      <w:proofErr w:type="spellEnd"/>
      <w:r w:rsidRPr="009E1D01">
        <w:rPr>
          <w:sz w:val="24"/>
          <w:szCs w:val="24"/>
        </w:rPr>
        <w:t xml:space="preserve"> (район п. Бабушкин, удаление 3,6 км от источника, длина профиля 4, 8 км), реки </w:t>
      </w:r>
      <w:proofErr w:type="spellStart"/>
      <w:r w:rsidRPr="009E1D01">
        <w:rPr>
          <w:sz w:val="24"/>
          <w:szCs w:val="24"/>
        </w:rPr>
        <w:t>Еловка</w:t>
      </w:r>
      <w:proofErr w:type="spellEnd"/>
      <w:r w:rsidRPr="009E1D01">
        <w:rPr>
          <w:sz w:val="24"/>
          <w:szCs w:val="24"/>
        </w:rPr>
        <w:t xml:space="preserve"> (район г. Каменска, удаление 38,9 км от источника, длина профиля 4.0 км), реки Большая </w:t>
      </w:r>
      <w:proofErr w:type="spellStart"/>
      <w:r w:rsidRPr="009E1D01">
        <w:rPr>
          <w:sz w:val="24"/>
          <w:szCs w:val="24"/>
        </w:rPr>
        <w:t>Санжеевка</w:t>
      </w:r>
      <w:proofErr w:type="spellEnd"/>
      <w:r w:rsidRPr="009E1D01">
        <w:rPr>
          <w:sz w:val="24"/>
          <w:szCs w:val="24"/>
        </w:rPr>
        <w:t xml:space="preserve"> (район п. </w:t>
      </w:r>
      <w:proofErr w:type="spellStart"/>
      <w:r w:rsidRPr="009E1D01">
        <w:rPr>
          <w:sz w:val="24"/>
          <w:szCs w:val="24"/>
        </w:rPr>
        <w:t>Хурамша</w:t>
      </w:r>
      <w:proofErr w:type="spellEnd"/>
      <w:r w:rsidRPr="009E1D01">
        <w:rPr>
          <w:sz w:val="24"/>
          <w:szCs w:val="24"/>
        </w:rPr>
        <w:t>, удаление 59,3 км от источника, длина профиля 10,0 км).</w:t>
      </w:r>
      <w:proofErr w:type="gramEnd"/>
      <w:r w:rsidRPr="009E1D01">
        <w:rPr>
          <w:sz w:val="24"/>
          <w:szCs w:val="24"/>
        </w:rPr>
        <w:t xml:space="preserve"> Регистрация вибросейсмических сигналов осуществлялась аппаратурой Байкал (22 регистратора), с сейсмическими датчиками </w:t>
      </w:r>
      <w:r w:rsidRPr="009E1D01">
        <w:rPr>
          <w:sz w:val="24"/>
          <w:szCs w:val="24"/>
          <w:lang w:val="en-US"/>
        </w:rPr>
        <w:t>GS</w:t>
      </w:r>
      <w:r w:rsidRPr="009E1D01">
        <w:rPr>
          <w:sz w:val="24"/>
          <w:szCs w:val="24"/>
        </w:rPr>
        <w:t xml:space="preserve">-3, СК1-П, координатная привязка системой </w:t>
      </w:r>
      <w:r w:rsidRPr="009E1D01">
        <w:rPr>
          <w:sz w:val="24"/>
          <w:szCs w:val="24"/>
          <w:lang w:val="en-US"/>
        </w:rPr>
        <w:t>GPS</w:t>
      </w:r>
      <w:r w:rsidRPr="009E1D01">
        <w:rPr>
          <w:sz w:val="24"/>
          <w:szCs w:val="24"/>
        </w:rPr>
        <w:t>.</w:t>
      </w:r>
    </w:p>
    <w:p w:rsidR="00474564" w:rsidRPr="009E1D01" w:rsidRDefault="00474564" w:rsidP="00474564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36"/>
        <w:gridCol w:w="4856"/>
      </w:tblGrid>
      <w:tr w:rsidR="00474564" w:rsidRPr="009E1D01" w:rsidTr="00F31012">
        <w:tc>
          <w:tcPr>
            <w:tcW w:w="4785" w:type="dxa"/>
          </w:tcPr>
          <w:p w:rsidR="00474564" w:rsidRPr="009E1D01" w:rsidRDefault="00474564" w:rsidP="00F31012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4650" cy="2143125"/>
                  <wp:effectExtent l="19050" t="0" r="0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74564" w:rsidRPr="009E1D01" w:rsidRDefault="00474564" w:rsidP="00F31012">
            <w:pPr>
              <w:ind w:left="-130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9900" cy="2133600"/>
                  <wp:effectExtent l="19050" t="0" r="0" b="0"/>
                  <wp:docPr id="2" name="Рисунок 2" descr="Рисунок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564" w:rsidRPr="009E1D01" w:rsidRDefault="00474564" w:rsidP="00474564">
      <w:pPr>
        <w:rPr>
          <w:sz w:val="24"/>
          <w:szCs w:val="24"/>
        </w:rPr>
      </w:pPr>
    </w:p>
    <w:p w:rsidR="00474564" w:rsidRPr="009E1D01" w:rsidRDefault="00474564" w:rsidP="00474564">
      <w:pPr>
        <w:rPr>
          <w:sz w:val="24"/>
          <w:szCs w:val="24"/>
        </w:rPr>
      </w:pPr>
      <w:r w:rsidRPr="009E1D01">
        <w:rPr>
          <w:sz w:val="24"/>
          <w:szCs w:val="24"/>
        </w:rPr>
        <w:lastRenderedPageBreak/>
        <w:t xml:space="preserve">Рис.1. Спутниковый снимок района работ и общая схема эксперимента. Красный треугольник - вибратор ЦВ-100, п. Бабушкин, профиль </w:t>
      </w:r>
      <w:r w:rsidRPr="009E1D01">
        <w:rPr>
          <w:sz w:val="24"/>
          <w:szCs w:val="24"/>
          <w:lang w:val="en-US"/>
        </w:rPr>
        <w:t>I</w:t>
      </w:r>
      <w:r w:rsidRPr="009E1D01">
        <w:rPr>
          <w:sz w:val="24"/>
          <w:szCs w:val="24"/>
        </w:rPr>
        <w:t xml:space="preserve"> </w:t>
      </w:r>
      <w:proofErr w:type="spellStart"/>
      <w:r w:rsidRPr="009E1D01">
        <w:rPr>
          <w:sz w:val="24"/>
          <w:szCs w:val="24"/>
        </w:rPr>
        <w:t>Мантуриха</w:t>
      </w:r>
      <w:proofErr w:type="spellEnd"/>
      <w:r w:rsidRPr="009E1D01">
        <w:rPr>
          <w:sz w:val="24"/>
          <w:szCs w:val="24"/>
        </w:rPr>
        <w:t xml:space="preserve">, профиль </w:t>
      </w:r>
      <w:r w:rsidRPr="009E1D01">
        <w:rPr>
          <w:sz w:val="24"/>
          <w:szCs w:val="24"/>
          <w:lang w:val="en-US"/>
        </w:rPr>
        <w:t>II</w:t>
      </w:r>
      <w:r w:rsidRPr="009E1D01">
        <w:rPr>
          <w:sz w:val="24"/>
          <w:szCs w:val="24"/>
        </w:rPr>
        <w:t xml:space="preserve"> </w:t>
      </w:r>
      <w:proofErr w:type="spellStart"/>
      <w:r w:rsidRPr="009E1D01">
        <w:rPr>
          <w:sz w:val="24"/>
          <w:szCs w:val="24"/>
        </w:rPr>
        <w:t>Еловка</w:t>
      </w:r>
      <w:proofErr w:type="spellEnd"/>
      <w:r w:rsidRPr="009E1D01">
        <w:rPr>
          <w:sz w:val="24"/>
          <w:szCs w:val="24"/>
        </w:rPr>
        <w:t xml:space="preserve">, профиль </w:t>
      </w:r>
      <w:r w:rsidRPr="009E1D01">
        <w:rPr>
          <w:sz w:val="24"/>
          <w:szCs w:val="24"/>
          <w:lang w:val="en-US"/>
        </w:rPr>
        <w:t>III</w:t>
      </w:r>
      <w:r w:rsidRPr="009E1D01">
        <w:rPr>
          <w:sz w:val="24"/>
          <w:szCs w:val="24"/>
        </w:rPr>
        <w:t xml:space="preserve">, </w:t>
      </w:r>
      <w:r w:rsidRPr="009E1D01">
        <w:rPr>
          <w:sz w:val="24"/>
          <w:szCs w:val="24"/>
          <w:lang w:val="en-US"/>
        </w:rPr>
        <w:t>IV</w:t>
      </w:r>
      <w:r w:rsidRPr="009E1D01">
        <w:rPr>
          <w:sz w:val="24"/>
          <w:szCs w:val="24"/>
        </w:rPr>
        <w:t xml:space="preserve"> </w:t>
      </w:r>
      <w:proofErr w:type="spellStart"/>
      <w:r w:rsidRPr="009E1D01">
        <w:rPr>
          <w:sz w:val="24"/>
          <w:szCs w:val="24"/>
        </w:rPr>
        <w:t>Хурамша</w:t>
      </w:r>
      <w:proofErr w:type="spellEnd"/>
      <w:r w:rsidRPr="009E1D01">
        <w:rPr>
          <w:sz w:val="24"/>
          <w:szCs w:val="24"/>
        </w:rPr>
        <w:t>. Указаны азимуты профилей и направления на вибратор.</w:t>
      </w:r>
    </w:p>
    <w:p w:rsidR="00474564" w:rsidRPr="009E1D01" w:rsidRDefault="00474564" w:rsidP="00474564">
      <w:pPr>
        <w:ind w:firstLine="540"/>
        <w:rPr>
          <w:sz w:val="24"/>
          <w:szCs w:val="24"/>
        </w:rPr>
      </w:pPr>
    </w:p>
    <w:p w:rsidR="00474564" w:rsidRPr="009E1D01" w:rsidRDefault="00474564" w:rsidP="00474564">
      <w:pPr>
        <w:rPr>
          <w:sz w:val="24"/>
          <w:szCs w:val="24"/>
        </w:rPr>
      </w:pPr>
      <w:r w:rsidRPr="009E1D01">
        <w:rPr>
          <w:sz w:val="24"/>
          <w:szCs w:val="24"/>
        </w:rPr>
        <w:t xml:space="preserve">Вибросейсмическое зондирование проводилось в рамках комплексного геофизического исследования зон разломов. Задачей исследований являлось выделение оперяющих разломов, разрывных нарушений, градиентов геофизических параметров. ГИН СО РАН и БФ ГС СО РАН провел в этом районе исследования комплексом методов, включающим магнитную съемку с протонным магнитометром МИНИМАГ, </w:t>
      </w:r>
      <w:proofErr w:type="gramStart"/>
      <w:r w:rsidRPr="009E1D01">
        <w:rPr>
          <w:sz w:val="24"/>
          <w:szCs w:val="24"/>
        </w:rPr>
        <w:t>дипольное</w:t>
      </w:r>
      <w:proofErr w:type="gramEnd"/>
      <w:r w:rsidRPr="009E1D01">
        <w:rPr>
          <w:sz w:val="24"/>
          <w:szCs w:val="24"/>
        </w:rPr>
        <w:t xml:space="preserve"> </w:t>
      </w:r>
      <w:proofErr w:type="spellStart"/>
      <w:r w:rsidRPr="009E1D01">
        <w:rPr>
          <w:sz w:val="24"/>
          <w:szCs w:val="24"/>
        </w:rPr>
        <w:t>электропрофилирование</w:t>
      </w:r>
      <w:proofErr w:type="spellEnd"/>
      <w:r w:rsidRPr="009E1D01">
        <w:rPr>
          <w:sz w:val="24"/>
          <w:szCs w:val="24"/>
        </w:rPr>
        <w:t xml:space="preserve"> (ДЭП) с аппаратурой ЭИН-209 и гамма-спектрометрия с измерением общей </w:t>
      </w:r>
      <w:proofErr w:type="spellStart"/>
      <w:r w:rsidRPr="009E1D01">
        <w:rPr>
          <w:sz w:val="24"/>
          <w:szCs w:val="24"/>
        </w:rPr>
        <w:t>гамма-активности</w:t>
      </w:r>
      <w:proofErr w:type="spellEnd"/>
      <w:r w:rsidRPr="009E1D01">
        <w:rPr>
          <w:sz w:val="24"/>
          <w:szCs w:val="24"/>
        </w:rPr>
        <w:t xml:space="preserve"> (</w:t>
      </w:r>
      <w:r w:rsidRPr="009E1D01">
        <w:rPr>
          <w:sz w:val="24"/>
          <w:szCs w:val="24"/>
          <w:lang w:val="en-US"/>
        </w:rPr>
        <w:t>GS</w:t>
      </w:r>
      <w:r w:rsidRPr="009E1D01">
        <w:rPr>
          <w:sz w:val="24"/>
          <w:szCs w:val="24"/>
        </w:rPr>
        <w:t xml:space="preserve">-512) тория, калия и урана на трех участках, с разным удалением и азимутом от </w:t>
      </w:r>
      <w:proofErr w:type="spellStart"/>
      <w:r w:rsidRPr="009E1D01">
        <w:rPr>
          <w:sz w:val="24"/>
          <w:szCs w:val="24"/>
        </w:rPr>
        <w:t>виброисточника</w:t>
      </w:r>
      <w:proofErr w:type="spellEnd"/>
      <w:r w:rsidRPr="009E1D01">
        <w:rPr>
          <w:sz w:val="24"/>
          <w:szCs w:val="24"/>
        </w:rPr>
        <w:t xml:space="preserve">: </w:t>
      </w:r>
      <w:proofErr w:type="spellStart"/>
      <w:r w:rsidRPr="009E1D01">
        <w:rPr>
          <w:sz w:val="24"/>
          <w:szCs w:val="24"/>
        </w:rPr>
        <w:t>Мантуриха</w:t>
      </w:r>
      <w:proofErr w:type="spellEnd"/>
      <w:r w:rsidRPr="009E1D01">
        <w:rPr>
          <w:sz w:val="24"/>
          <w:szCs w:val="24"/>
        </w:rPr>
        <w:t xml:space="preserve"> – удаление от </w:t>
      </w:r>
      <w:proofErr w:type="spellStart"/>
      <w:r w:rsidRPr="009E1D01">
        <w:rPr>
          <w:sz w:val="24"/>
          <w:szCs w:val="24"/>
        </w:rPr>
        <w:t>виброисточника</w:t>
      </w:r>
      <w:proofErr w:type="spellEnd"/>
      <w:r w:rsidRPr="009E1D01">
        <w:rPr>
          <w:sz w:val="24"/>
          <w:szCs w:val="24"/>
        </w:rPr>
        <w:t xml:space="preserve"> -6-10 км; </w:t>
      </w:r>
      <w:proofErr w:type="spellStart"/>
      <w:r w:rsidRPr="009E1D01">
        <w:rPr>
          <w:sz w:val="24"/>
          <w:szCs w:val="24"/>
        </w:rPr>
        <w:t>Еловка</w:t>
      </w:r>
      <w:proofErr w:type="spellEnd"/>
      <w:r w:rsidRPr="009E1D01">
        <w:rPr>
          <w:sz w:val="24"/>
          <w:szCs w:val="24"/>
        </w:rPr>
        <w:t>,  Каменск – удаление 38-</w:t>
      </w:r>
      <w:smartTag w:uri="urn:schemas-microsoft-com:office:smarttags" w:element="metricconverter">
        <w:smartTagPr>
          <w:attr w:name="ProductID" w:val="39 км"/>
        </w:smartTagPr>
        <w:r w:rsidRPr="009E1D01">
          <w:rPr>
            <w:sz w:val="24"/>
            <w:szCs w:val="24"/>
          </w:rPr>
          <w:t>39 км</w:t>
        </w:r>
      </w:smartTag>
      <w:proofErr w:type="gramStart"/>
      <w:r w:rsidRPr="009E1D01">
        <w:rPr>
          <w:sz w:val="24"/>
          <w:szCs w:val="24"/>
        </w:rPr>
        <w:t xml:space="preserve">,; </w:t>
      </w:r>
      <w:proofErr w:type="spellStart"/>
      <w:proofErr w:type="gramEnd"/>
      <w:r w:rsidRPr="009E1D01">
        <w:rPr>
          <w:sz w:val="24"/>
          <w:szCs w:val="24"/>
        </w:rPr>
        <w:t>Хурамша</w:t>
      </w:r>
      <w:proofErr w:type="spellEnd"/>
      <w:r w:rsidRPr="009E1D01">
        <w:rPr>
          <w:sz w:val="24"/>
          <w:szCs w:val="24"/>
        </w:rPr>
        <w:t xml:space="preserve"> – удаление 60-66 км. Общая схема эксперимента приведена на рис. 1.</w:t>
      </w:r>
    </w:p>
    <w:p w:rsidR="00474564" w:rsidRPr="009E1D01" w:rsidRDefault="00474564" w:rsidP="00474564">
      <w:pPr>
        <w:rPr>
          <w:sz w:val="24"/>
          <w:szCs w:val="24"/>
        </w:rPr>
      </w:pPr>
      <w:r w:rsidRPr="009E1D01">
        <w:rPr>
          <w:sz w:val="24"/>
          <w:szCs w:val="24"/>
        </w:rPr>
        <w:t xml:space="preserve">В ходе экспериментальных работ по вибросейсмическому просвечиванию зон разломов накоплен файловый архив из 1200 трасс волновых форм. </w:t>
      </w:r>
      <w:proofErr w:type="gramStart"/>
      <w:r w:rsidRPr="009E1D01">
        <w:rPr>
          <w:sz w:val="24"/>
          <w:szCs w:val="24"/>
        </w:rPr>
        <w:t>Проведена</w:t>
      </w:r>
      <w:proofErr w:type="gramEnd"/>
      <w:r w:rsidRPr="009E1D01">
        <w:rPr>
          <w:sz w:val="24"/>
          <w:szCs w:val="24"/>
        </w:rPr>
        <w:t xml:space="preserve"> экспресс-обработка и предварительный анализ полученных данных. Получены вибрационные сейсмограммы (корреляционные функции) зарегистрированных сигналов и их спектрально-временные функции, а также спектры гармонических сигналов. Предварительный анализ полученных вибрационных сейсмограмм показал, что уверенно выделяются прямые продольные и поперечные волны. </w:t>
      </w:r>
    </w:p>
    <w:p w:rsidR="00474564" w:rsidRPr="009E1D01" w:rsidRDefault="00474564" w:rsidP="00474564">
      <w:pPr>
        <w:rPr>
          <w:sz w:val="24"/>
          <w:szCs w:val="24"/>
        </w:rPr>
      </w:pPr>
      <w:r w:rsidRPr="009E1D01">
        <w:rPr>
          <w:sz w:val="24"/>
          <w:szCs w:val="24"/>
        </w:rPr>
        <w:t xml:space="preserve">При обработке вибрационных сейсмограмм для выделения основных типов волн впервые применялось преобразование Гильберта для определения текущих амплитудных и частотных характеристик сейсмограмм. Вибрационные сейсмограммы являются результатом корреляционной свертки зарегистрированного на профиле сейсмического сигнала вибратора и опорного </w:t>
      </w:r>
      <w:proofErr w:type="spellStart"/>
      <w:r w:rsidRPr="009E1D01">
        <w:rPr>
          <w:sz w:val="24"/>
          <w:szCs w:val="24"/>
        </w:rPr>
        <w:t>свип-сигнала</w:t>
      </w:r>
      <w:proofErr w:type="spellEnd"/>
      <w:r w:rsidRPr="009E1D01">
        <w:rPr>
          <w:sz w:val="24"/>
          <w:szCs w:val="24"/>
        </w:rPr>
        <w:t xml:space="preserve"> в точке излучения. </w:t>
      </w:r>
      <w:proofErr w:type="gramStart"/>
      <w:r w:rsidRPr="009E1D01">
        <w:rPr>
          <w:sz w:val="24"/>
          <w:szCs w:val="24"/>
        </w:rPr>
        <w:t xml:space="preserve">Они представляют собой суперпозицию автокорреляционных функций излученного </w:t>
      </w:r>
      <w:proofErr w:type="spellStart"/>
      <w:r w:rsidRPr="009E1D01">
        <w:rPr>
          <w:sz w:val="24"/>
          <w:szCs w:val="24"/>
        </w:rPr>
        <w:t>свип-сигнала</w:t>
      </w:r>
      <w:proofErr w:type="spellEnd"/>
      <w:r w:rsidRPr="009E1D01">
        <w:rPr>
          <w:sz w:val="24"/>
          <w:szCs w:val="24"/>
        </w:rPr>
        <w:t>, сдвинутых по времени на времена прихода отдельных волн и имеющих разную амплитуду.</w:t>
      </w:r>
      <w:proofErr w:type="gramEnd"/>
      <w:r w:rsidRPr="009E1D01">
        <w:rPr>
          <w:sz w:val="24"/>
          <w:szCs w:val="24"/>
        </w:rPr>
        <w:t xml:space="preserve"> Время вступления волн на вибрационной сейсмограмме определяется по положению максимума автокорреляционной функции, соответствующей данной волне. </w:t>
      </w:r>
      <w:proofErr w:type="gramStart"/>
      <w:r w:rsidRPr="009E1D01">
        <w:rPr>
          <w:sz w:val="24"/>
          <w:szCs w:val="24"/>
        </w:rPr>
        <w:t>Преобразование Гильберта, примененное к вибрационной сейсмограмме позволяет</w:t>
      </w:r>
      <w:proofErr w:type="gramEnd"/>
      <w:r w:rsidRPr="009E1D01">
        <w:rPr>
          <w:sz w:val="24"/>
          <w:szCs w:val="24"/>
        </w:rPr>
        <w:t xml:space="preserve"> получить ее огибающую и определить положение локальных максимумов, соответствующих временам прихода волн.</w:t>
      </w:r>
    </w:p>
    <w:p w:rsidR="00474564" w:rsidRPr="009E1D01" w:rsidRDefault="00474564" w:rsidP="00474564">
      <w:pPr>
        <w:rPr>
          <w:sz w:val="24"/>
          <w:szCs w:val="24"/>
        </w:rPr>
      </w:pPr>
      <w:r w:rsidRPr="009E1D01">
        <w:rPr>
          <w:sz w:val="24"/>
          <w:szCs w:val="24"/>
        </w:rPr>
        <w:t xml:space="preserve">Применение преобразования Гильберта к вибрационным сейсмограммам на профилях </w:t>
      </w:r>
      <w:proofErr w:type="spellStart"/>
      <w:r w:rsidRPr="009E1D01">
        <w:rPr>
          <w:sz w:val="24"/>
          <w:szCs w:val="24"/>
        </w:rPr>
        <w:t>Мантуриха</w:t>
      </w:r>
      <w:proofErr w:type="spellEnd"/>
      <w:r w:rsidRPr="009E1D01">
        <w:rPr>
          <w:sz w:val="24"/>
          <w:szCs w:val="24"/>
        </w:rPr>
        <w:t xml:space="preserve">, </w:t>
      </w:r>
      <w:proofErr w:type="spellStart"/>
      <w:r w:rsidRPr="009E1D01">
        <w:rPr>
          <w:sz w:val="24"/>
          <w:szCs w:val="24"/>
        </w:rPr>
        <w:t>Еловка</w:t>
      </w:r>
      <w:proofErr w:type="spellEnd"/>
      <w:r w:rsidRPr="009E1D01">
        <w:rPr>
          <w:sz w:val="24"/>
          <w:szCs w:val="24"/>
        </w:rPr>
        <w:t xml:space="preserve">, </w:t>
      </w:r>
      <w:proofErr w:type="spellStart"/>
      <w:r w:rsidRPr="009E1D01">
        <w:rPr>
          <w:sz w:val="24"/>
          <w:szCs w:val="24"/>
        </w:rPr>
        <w:t>Хурамша</w:t>
      </w:r>
      <w:proofErr w:type="spellEnd"/>
      <w:r w:rsidRPr="009E1D01">
        <w:rPr>
          <w:sz w:val="24"/>
          <w:szCs w:val="24"/>
        </w:rPr>
        <w:t>, позволило выявить эффекты влияния разломных структур на амплитуды основных типов волн и на общую структуру сейсмограмм.</w:t>
      </w:r>
    </w:p>
    <w:p w:rsidR="00E233E3" w:rsidRDefault="00E233E3"/>
    <w:sectPr w:rsidR="00E233E3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4564"/>
    <w:rsid w:val="002E1AFB"/>
    <w:rsid w:val="00474564"/>
    <w:rsid w:val="007E2711"/>
    <w:rsid w:val="00872DAE"/>
    <w:rsid w:val="008C22D9"/>
    <w:rsid w:val="00A50792"/>
    <w:rsid w:val="00B43712"/>
    <w:rsid w:val="00BB55CA"/>
    <w:rsid w:val="00C36434"/>
    <w:rsid w:val="00CA5BCE"/>
    <w:rsid w:val="00CD2746"/>
    <w:rsid w:val="00D5067F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4564"/>
    <w:pPr>
      <w:spacing w:line="360" w:lineRule="auto"/>
      <w:ind w:firstLine="720"/>
    </w:pPr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4564"/>
    <w:rPr>
      <w:rFonts w:eastAsia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2</cp:revision>
  <dcterms:created xsi:type="dcterms:W3CDTF">2015-05-29T10:11:00Z</dcterms:created>
  <dcterms:modified xsi:type="dcterms:W3CDTF">2015-05-29T10:26:00Z</dcterms:modified>
</cp:coreProperties>
</file>